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967DF">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海南师范大学附属小学2024年度部门决算公开报告</w:t>
      </w:r>
    </w:p>
    <w:p w14:paraId="17E49AB2">
      <w:pPr>
        <w:spacing w:line="578" w:lineRule="exact"/>
        <w:jc w:val="center"/>
        <w:rPr>
          <w:rFonts w:hint="eastAsia" w:ascii="黑体" w:hAnsi="ˎ̥" w:eastAsia="黑体"/>
          <w:b/>
          <w:sz w:val="32"/>
          <w:szCs w:val="32"/>
        </w:rPr>
      </w:pPr>
    </w:p>
    <w:p w14:paraId="0AD17342">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1A973627">
      <w:pPr>
        <w:pStyle w:val="17"/>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3C144F59">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729596C8">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33E90BC8">
      <w:pPr>
        <w:pStyle w:val="17"/>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14:paraId="64ECD98C">
      <w:pPr>
        <w:pStyle w:val="17"/>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14:paraId="30C77857">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14:paraId="4C31084D">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081CF9E8">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41F1B444">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6F14C944">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14:paraId="05B3AF42">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14:paraId="50B06F1F">
      <w:pPr>
        <w:pStyle w:val="18"/>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14:paraId="0AEF13A9">
      <w:pPr>
        <w:pStyle w:val="18"/>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14:paraId="4A740DE7">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14:paraId="425A5688">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14:paraId="1578DD58">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14:paraId="1D988CD7">
      <w:pPr>
        <w:pStyle w:val="17"/>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14:paraId="792FD0E8">
      <w:pPr>
        <w:spacing w:line="578" w:lineRule="exact"/>
        <w:jc w:val="both"/>
        <w:rPr>
          <w:rFonts w:hint="eastAsia" w:ascii="黑体" w:hAnsi="ˎ̥" w:eastAsia="黑体"/>
          <w:sz w:val="32"/>
          <w:szCs w:val="32"/>
        </w:rPr>
      </w:pPr>
      <w:bookmarkStart w:id="2" w:name="_Toc10049_WPSOffice_Level1"/>
      <w:bookmarkStart w:id="3" w:name="_Toc10720_WPSOffice_Level1"/>
      <w:bookmarkStart w:id="4" w:name="_Toc1704_WPSOffice_Level1"/>
      <w:bookmarkStart w:id="5" w:name="_Toc32433_WPSOffice_Level1"/>
      <w:bookmarkStart w:id="6" w:name="_Toc23465_WPSOffice_Level1"/>
      <w:bookmarkStart w:id="7" w:name="_Toc22941_WPSOffice_Level1"/>
      <w:bookmarkStart w:id="8" w:name="_Toc24238_WPSOffice_Level2"/>
      <w:bookmarkStart w:id="9" w:name="_Toc20274_WPSOffice_Level2"/>
      <w:bookmarkStart w:id="10" w:name="_Toc14159_WPSOffice_Level2"/>
      <w:bookmarkStart w:id="11" w:name="_Toc32622_WPSOffice_Level2"/>
      <w:bookmarkStart w:id="12" w:name="_Toc26580_WPSOffice_Level2"/>
      <w:bookmarkStart w:id="13" w:name="_Toc20205_WPSOffice_Level2"/>
    </w:p>
    <w:p w14:paraId="3B6122F9">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14:paraId="70905DD1">
      <w:pPr>
        <w:spacing w:line="578" w:lineRule="exact"/>
        <w:ind w:firstLine="640" w:firstLineChars="200"/>
        <w:rPr>
          <w:rFonts w:hint="eastAsia" w:ascii="楷体" w:hAnsi="楷体" w:eastAsia="楷体" w:cs="楷体"/>
          <w:sz w:val="32"/>
          <w:szCs w:val="32"/>
        </w:rPr>
      </w:pPr>
    </w:p>
    <w:p w14:paraId="20A4AF86">
      <w:pPr>
        <w:numPr>
          <w:ilvl w:val="0"/>
          <w:numId w:val="2"/>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w:t>
      </w:r>
      <w:bookmarkEnd w:id="8"/>
      <w:r>
        <w:rPr>
          <w:rFonts w:hint="eastAsia" w:ascii="黑体" w:hAnsi="黑体" w:eastAsia="黑体" w:cs="黑体"/>
          <w:sz w:val="32"/>
          <w:szCs w:val="32"/>
        </w:rPr>
        <w:t>（单位）职责</w:t>
      </w:r>
      <w:bookmarkEnd w:id="9"/>
      <w:bookmarkEnd w:id="10"/>
      <w:bookmarkEnd w:id="11"/>
      <w:bookmarkEnd w:id="12"/>
      <w:bookmarkEnd w:id="13"/>
    </w:p>
    <w:p w14:paraId="1A554080">
      <w:pPr>
        <w:spacing w:line="560" w:lineRule="atLeast"/>
        <w:ind w:firstLine="560" w:firstLineChars="200"/>
        <w:rPr>
          <w:sz w:val="28"/>
          <w:szCs w:val="28"/>
        </w:rPr>
      </w:pPr>
      <w:r>
        <w:rPr>
          <w:rFonts w:hint="eastAsia"/>
          <w:sz w:val="28"/>
          <w:szCs w:val="28"/>
          <w:lang w:val="en-US" w:eastAsia="zh-CN"/>
        </w:rPr>
        <w:t>1、</w:t>
      </w:r>
      <w:r>
        <w:rPr>
          <w:rFonts w:hint="eastAsia"/>
          <w:sz w:val="28"/>
          <w:szCs w:val="28"/>
        </w:rPr>
        <w:t>贯彻执行党、国家和省市有关教育工作的方针政策法律、法规和规章;组织制订并实施学校发展规划和学年度工作计划。小学义务教育、素质教育依法实施、基础教育发展、学校教育管理、学校教职员工管理、教师专业技术职务评聘上报学校安全管。</w:t>
      </w:r>
    </w:p>
    <w:p w14:paraId="70D4FB46">
      <w:pPr>
        <w:numPr>
          <w:ilvl w:val="0"/>
          <w:numId w:val="0"/>
        </w:numPr>
        <w:spacing w:line="578" w:lineRule="exact"/>
        <w:ind w:firstLine="560" w:firstLineChars="200"/>
        <w:rPr>
          <w:rFonts w:hint="eastAsia"/>
          <w:sz w:val="28"/>
          <w:szCs w:val="28"/>
        </w:rPr>
      </w:pPr>
      <w:r>
        <w:rPr>
          <w:rFonts w:hint="eastAsia"/>
          <w:sz w:val="28"/>
          <w:szCs w:val="28"/>
          <w:lang w:val="en-US" w:eastAsia="zh-CN"/>
        </w:rPr>
        <w:t>2、</w:t>
      </w:r>
      <w:r>
        <w:rPr>
          <w:rFonts w:hint="eastAsia"/>
          <w:sz w:val="28"/>
          <w:szCs w:val="28"/>
        </w:rPr>
        <w:t>在海南师范大学党委、校领导的关心和支持下，学校坚定不移地贯彻执行党的教育方针，深入实施素质教育，扎实推进课程改革。学校的办学宗旨是：以“三个面向”为指针，以提高国民素质为根本宗旨，以培养学生的创新精神和实践能力为重点，办“规范＋特色”学校，育“全面＋特长”人才。办学目标是：以人为本，科研兴校，争创一流的教育教学质量，办人民满意的教育，办家长满意的优质学校</w:t>
      </w:r>
    </w:p>
    <w:p w14:paraId="49A989D0">
      <w:pPr>
        <w:numPr>
          <w:ilvl w:val="0"/>
          <w:numId w:val="0"/>
        </w:numPr>
        <w:spacing w:line="578" w:lineRule="exact"/>
        <w:rPr>
          <w:rFonts w:hint="default" w:eastAsia="宋体"/>
          <w:sz w:val="28"/>
          <w:szCs w:val="28"/>
          <w:lang w:val="en-US" w:eastAsia="zh-CN"/>
        </w:rPr>
      </w:pPr>
      <w:r>
        <w:rPr>
          <w:rFonts w:hint="eastAsia"/>
          <w:sz w:val="28"/>
          <w:szCs w:val="28"/>
          <w:lang w:val="en-US" w:eastAsia="zh-CN"/>
        </w:rPr>
        <w:t xml:space="preserve">   3、</w:t>
      </w:r>
      <w:r>
        <w:rPr>
          <w:rFonts w:hint="eastAsia"/>
          <w:sz w:val="28"/>
          <w:szCs w:val="28"/>
        </w:rPr>
        <w:t>学校努力建设一支师德高尚、教艺精湛的研究型教师队伍。注重校本研训，鼓励教师走教学科研相结合的路子，并根据教师各自的个性特点和能力特长，创造各种机会，发挥其所长，促进其成长</w:t>
      </w:r>
    </w:p>
    <w:p w14:paraId="6DCC6680">
      <w:pPr>
        <w:spacing w:line="578" w:lineRule="exact"/>
        <w:ind w:firstLine="640" w:firstLineChars="200"/>
        <w:rPr>
          <w:rFonts w:hint="eastAsia" w:ascii="黑体" w:hAnsi="黑体" w:eastAsia="黑体" w:cs="黑体"/>
          <w:sz w:val="32"/>
          <w:szCs w:val="32"/>
        </w:rPr>
      </w:pPr>
      <w:bookmarkStart w:id="14" w:name="_Toc17796_WPSOffice_Level2"/>
      <w:bookmarkStart w:id="15" w:name="_Toc6572_WPSOffice_Level2"/>
      <w:bookmarkStart w:id="16" w:name="_Toc4833_WPSOffice_Level2"/>
      <w:bookmarkStart w:id="17" w:name="_Toc24059_WPSOffice_Level2"/>
      <w:bookmarkStart w:id="18" w:name="_Toc24474_WPSOffice_Level2"/>
      <w:r>
        <w:rPr>
          <w:rFonts w:hint="eastAsia" w:ascii="黑体" w:hAnsi="黑体" w:eastAsia="黑体" w:cs="黑体"/>
          <w:sz w:val="32"/>
          <w:szCs w:val="32"/>
        </w:rPr>
        <w:t>二、机构设置</w:t>
      </w:r>
      <w:bookmarkEnd w:id="14"/>
      <w:bookmarkEnd w:id="15"/>
      <w:bookmarkEnd w:id="16"/>
      <w:bookmarkEnd w:id="17"/>
      <w:bookmarkEnd w:id="18"/>
    </w:p>
    <w:p w14:paraId="3A20C211">
      <w:pPr>
        <w:spacing w:line="578" w:lineRule="exact"/>
        <w:ind w:firstLine="560" w:firstLineChars="200"/>
        <w:rPr>
          <w:rFonts w:hint="eastAsia" w:ascii="仿宋_GB2312" w:hAnsi="ˎ̥" w:eastAsia="仿宋_GB2312"/>
          <w:sz w:val="32"/>
          <w:szCs w:val="32"/>
        </w:rPr>
      </w:pPr>
      <w:r>
        <w:rPr>
          <w:rFonts w:hint="eastAsia"/>
          <w:sz w:val="28"/>
          <w:szCs w:val="28"/>
        </w:rPr>
        <w:t>2024年度，学校设置有机构1</w:t>
      </w:r>
      <w:r>
        <w:rPr>
          <w:rFonts w:hint="eastAsia"/>
          <w:sz w:val="28"/>
          <w:szCs w:val="28"/>
          <w:lang w:val="en-US" w:eastAsia="zh-CN"/>
        </w:rPr>
        <w:t>1</w:t>
      </w:r>
      <w:r>
        <w:rPr>
          <w:rFonts w:hint="eastAsia"/>
          <w:sz w:val="28"/>
          <w:szCs w:val="28"/>
        </w:rPr>
        <w:t>个：党支部、校长室、副校长室、</w:t>
      </w:r>
      <w:r>
        <w:rPr>
          <w:rFonts w:hint="eastAsia"/>
          <w:sz w:val="28"/>
          <w:szCs w:val="28"/>
          <w:lang w:val="en-US" w:eastAsia="zh-CN"/>
        </w:rPr>
        <w:t>行政办公室</w:t>
      </w:r>
      <w:r>
        <w:rPr>
          <w:rFonts w:hint="eastAsia"/>
          <w:sz w:val="28"/>
          <w:szCs w:val="28"/>
        </w:rPr>
        <w:t>、综治办、教导处、教研室、总务处、体卫艺处、德育处、工会。</w:t>
      </w:r>
    </w:p>
    <w:p w14:paraId="5A82ED57">
      <w:pPr>
        <w:spacing w:line="578" w:lineRule="exact"/>
        <w:jc w:val="center"/>
        <w:rPr>
          <w:rFonts w:hint="eastAsia" w:ascii="黑体" w:hAnsi="ˎ̥" w:eastAsia="黑体"/>
          <w:sz w:val="32"/>
          <w:szCs w:val="32"/>
        </w:rPr>
      </w:pPr>
      <w:bookmarkStart w:id="19" w:name="_Toc30451_WPSOffice_Level1"/>
      <w:bookmarkStart w:id="20" w:name="_Toc6234_WPSOffice_Level1"/>
      <w:bookmarkStart w:id="21" w:name="_Toc15521_WPSOffice_Level1"/>
      <w:bookmarkStart w:id="22" w:name="_Toc8164_WPSOffice_Level1"/>
      <w:bookmarkStart w:id="23" w:name="_Toc30690_WPSOffice_Level1"/>
      <w:bookmarkStart w:id="24" w:name="_Toc28253_WPSOffice_Level1"/>
      <w:bookmarkStart w:id="25" w:name="_Toc11518_WPSOffice_Level2"/>
      <w:bookmarkStart w:id="26" w:name="_Toc8867_WPSOffice_Level2"/>
      <w:bookmarkStart w:id="27" w:name="_Toc6211_WPSOffice_Level2"/>
      <w:bookmarkStart w:id="28" w:name="_Toc32695_WPSOffice_Level2"/>
      <w:bookmarkStart w:id="29" w:name="_Toc4029_WPSOffice_Level2"/>
      <w:bookmarkStart w:id="30" w:name="_Toc32472_WPSOffice_Level2"/>
    </w:p>
    <w:p w14:paraId="7A8863E6">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9"/>
      <w:bookmarkEnd w:id="20"/>
      <w:bookmarkEnd w:id="21"/>
      <w:bookmarkEnd w:id="22"/>
      <w:bookmarkEnd w:id="23"/>
      <w:bookmarkEnd w:id="24"/>
    </w:p>
    <w:p w14:paraId="6CF40545">
      <w:pPr>
        <w:spacing w:line="578" w:lineRule="exact"/>
        <w:ind w:firstLine="645"/>
        <w:rPr>
          <w:rFonts w:hint="eastAsia" w:ascii="黑体" w:hAnsi="黑体" w:eastAsia="黑体" w:cs="黑体"/>
          <w:sz w:val="32"/>
          <w:szCs w:val="32"/>
        </w:rPr>
      </w:pPr>
    </w:p>
    <w:p w14:paraId="3E361321">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14:paraId="2C9D5C3A">
      <w:pPr>
        <w:spacing w:line="578" w:lineRule="exact"/>
        <w:ind w:firstLine="645"/>
        <w:rPr>
          <w:rFonts w:hint="eastAsia" w:ascii="黑体" w:hAnsi="黑体" w:eastAsia="黑体" w:cs="黑体"/>
          <w:sz w:val="32"/>
          <w:szCs w:val="32"/>
        </w:rPr>
      </w:pPr>
      <w:bookmarkStart w:id="31" w:name="_Toc30334_WPSOffice_Level2"/>
      <w:bookmarkStart w:id="32" w:name="_Toc26621_WPSOffice_Level2"/>
      <w:bookmarkStart w:id="33" w:name="_Toc14349_WPSOffice_Level2"/>
      <w:bookmarkStart w:id="34" w:name="_Toc25608_WPSOffice_Level2"/>
      <w:bookmarkStart w:id="35" w:name="_Toc23139_WPSOffice_Level2"/>
      <w:bookmarkStart w:id="36" w:name="_Toc28622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14658_WPSOffice_Level2"/>
      <w:bookmarkStart w:id="38" w:name="_Toc3262_WPSOffice_Level2"/>
      <w:bookmarkStart w:id="39" w:name="_Toc17858_WPSOffice_Level2"/>
      <w:bookmarkStart w:id="40" w:name="_Toc5489_WPSOffice_Level2"/>
      <w:bookmarkStart w:id="41" w:name="_Toc17626_WPSOffice_Level2"/>
      <w:bookmarkStart w:id="42" w:name="_Toc13854_WPSOffice_Level2"/>
    </w:p>
    <w:p w14:paraId="4E954BE6">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23591_WPSOffice_Level2"/>
      <w:bookmarkStart w:id="44" w:name="_Toc21415_WPSOffice_Level2"/>
      <w:bookmarkStart w:id="45" w:name="_Toc23493_WPSOffice_Level2"/>
      <w:bookmarkStart w:id="46" w:name="_Toc7988_WPSOffice_Level2"/>
      <w:bookmarkStart w:id="47" w:name="_Toc4265_WPSOffice_Level2"/>
      <w:bookmarkStart w:id="48" w:name="_Toc13701_WPSOffice_Level2"/>
    </w:p>
    <w:p w14:paraId="7B70F4BE">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14:paraId="70ED1F1A">
      <w:pPr>
        <w:spacing w:line="578" w:lineRule="exact"/>
        <w:ind w:firstLine="645"/>
        <w:rPr>
          <w:rFonts w:hint="eastAsia" w:ascii="黑体" w:hAnsi="黑体" w:eastAsia="黑体" w:cs="黑体"/>
          <w:sz w:val="32"/>
          <w:szCs w:val="32"/>
        </w:rPr>
      </w:pPr>
      <w:bookmarkStart w:id="49" w:name="_Toc7879_WPSOffice_Level2"/>
      <w:bookmarkStart w:id="50" w:name="_Toc22783_WPSOffice_Level2"/>
      <w:bookmarkStart w:id="51" w:name="_Toc23829_WPSOffice_Level2"/>
      <w:bookmarkStart w:id="52" w:name="_Toc25166_WPSOffice_Level2"/>
      <w:bookmarkStart w:id="53" w:name="_Toc2158_WPSOffice_Level2"/>
      <w:bookmarkStart w:id="54" w:name="_Toc13516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8373_WPSOffice_Level2"/>
      <w:bookmarkStart w:id="56" w:name="_Toc17283_WPSOffice_Level2"/>
      <w:bookmarkStart w:id="57" w:name="_Toc17833_WPSOffice_Level2"/>
      <w:bookmarkStart w:id="58" w:name="_Toc5343_WPSOffice_Level2"/>
      <w:bookmarkStart w:id="59" w:name="_Toc25362_WPSOffice_Level2"/>
      <w:bookmarkStart w:id="60" w:name="_Toc2632_WPSOffice_Level2"/>
    </w:p>
    <w:p w14:paraId="3E8B4A83">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14:paraId="687F585A">
      <w:pPr>
        <w:spacing w:line="578" w:lineRule="exact"/>
        <w:ind w:left="1118" w:leftChars="304" w:hanging="480" w:hangingChars="150"/>
        <w:rPr>
          <w:rFonts w:hint="eastAsia" w:ascii="黑体" w:hAnsi="黑体" w:eastAsia="黑体" w:cs="黑体"/>
          <w:sz w:val="32"/>
          <w:szCs w:val="32"/>
        </w:rPr>
      </w:pPr>
      <w:bookmarkStart w:id="61" w:name="_Toc5594_WPSOffice_Level2"/>
      <w:bookmarkStart w:id="62" w:name="_Toc21310_WPSOffice_Level2"/>
      <w:bookmarkStart w:id="63" w:name="_Toc6020_WPSOffice_Level2"/>
      <w:bookmarkStart w:id="64" w:name="_Toc13345_WPSOffice_Level2"/>
      <w:bookmarkStart w:id="65" w:name="_Toc11799_WPSOffice_Level2"/>
      <w:bookmarkStart w:id="66" w:name="_Toc1533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14:paraId="0E6C975E">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134B8ACF">
      <w:pPr>
        <w:spacing w:line="578" w:lineRule="exact"/>
        <w:ind w:firstLine="640"/>
        <w:rPr>
          <w:rFonts w:hint="eastAsia" w:ascii="黑体" w:hAnsi="黑体" w:eastAsia="黑体" w:cs="黑体"/>
          <w:sz w:val="32"/>
          <w:szCs w:val="32"/>
        </w:rPr>
      </w:pPr>
      <w:bookmarkStart w:id="67" w:name="_Toc1820_WPSOffice_Level2"/>
      <w:bookmarkStart w:id="68" w:name="_Toc19961_WPSOffice_Level2"/>
      <w:bookmarkStart w:id="69" w:name="_Toc9377_WPSOffice_Level2"/>
      <w:bookmarkStart w:id="70" w:name="_Toc29886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14:paraId="4A112F25">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14:paraId="2DB1FCB7">
      <w:pPr>
        <w:spacing w:line="578" w:lineRule="exact"/>
        <w:rPr>
          <w:rFonts w:hint="eastAsia" w:ascii="黑体" w:hAnsi="黑体" w:eastAsia="黑体" w:cs="黑体"/>
          <w:sz w:val="32"/>
          <w:szCs w:val="32"/>
        </w:rPr>
      </w:pPr>
    </w:p>
    <w:p w14:paraId="76478115">
      <w:pPr>
        <w:spacing w:line="578" w:lineRule="exact"/>
        <w:jc w:val="center"/>
        <w:rPr>
          <w:rFonts w:hint="eastAsia" w:ascii="黑体" w:hAnsi="ˎ̥" w:eastAsia="黑体"/>
          <w:sz w:val="32"/>
          <w:szCs w:val="32"/>
        </w:rPr>
      </w:pPr>
      <w:bookmarkStart w:id="71" w:name="_Toc28629_WPSOffice_Level1"/>
      <w:bookmarkStart w:id="72" w:name="_Toc4402_WPSOffice_Level1"/>
      <w:bookmarkStart w:id="73" w:name="_Toc29683_WPSOffice_Level1"/>
      <w:bookmarkStart w:id="74" w:name="_Toc31264_WPSOffice_Level1"/>
      <w:bookmarkStart w:id="75" w:name="_Toc16686_WPSOffice_Level1"/>
      <w:bookmarkStart w:id="76" w:name="_Toc27590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1"/>
      <w:bookmarkEnd w:id="72"/>
      <w:bookmarkEnd w:id="73"/>
      <w:bookmarkEnd w:id="74"/>
      <w:bookmarkEnd w:id="75"/>
      <w:bookmarkEnd w:id="76"/>
    </w:p>
    <w:p w14:paraId="675FFA3B">
      <w:pPr>
        <w:spacing w:line="578" w:lineRule="exact"/>
        <w:jc w:val="center"/>
        <w:rPr>
          <w:rFonts w:hint="eastAsia" w:ascii="黑体" w:hAnsi="ˎ̥" w:eastAsia="黑体"/>
          <w:sz w:val="32"/>
          <w:szCs w:val="32"/>
        </w:rPr>
      </w:pPr>
    </w:p>
    <w:p w14:paraId="38774232">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ˎ̥" w:eastAsia="仿宋_GB2312"/>
          <w:sz w:val="32"/>
          <w:szCs w:val="32"/>
          <w:lang w:val="en-US" w:eastAsia="zh-CN"/>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default" w:ascii="仿宋_GB2312" w:hAnsi="ˎ̥" w:eastAsia="仿宋_GB2312"/>
          <w:color w:val="auto"/>
          <w:sz w:val="32"/>
          <w:szCs w:val="32"/>
          <w:lang w:val="en-US"/>
        </w:rPr>
        <w:t>1,740.25</w:t>
      </w:r>
      <w:r>
        <w:rPr>
          <w:rFonts w:hint="eastAsia" w:ascii="仿宋_GB2312" w:hAnsi="ˎ̥" w:eastAsia="仿宋_GB2312"/>
          <w:sz w:val="32"/>
          <w:szCs w:val="32"/>
        </w:rPr>
        <w:t>万元，支出总计</w:t>
      </w:r>
      <w:r>
        <w:rPr>
          <w:rFonts w:hint="default" w:ascii="仿宋_GB2312" w:hAnsi="ˎ̥" w:eastAsia="仿宋_GB2312"/>
          <w:color w:val="auto"/>
          <w:sz w:val="32"/>
          <w:szCs w:val="32"/>
          <w:lang w:val="en-US"/>
        </w:rPr>
        <w:t>1,740.25</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本单位为2024年新增预算拨款单位，无2023年对比数据。</w:t>
      </w:r>
    </w:p>
    <w:p w14:paraId="67E1D4E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14:paraId="0226A72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default" w:ascii="仿宋_GB2312" w:hAnsi="ˎ̥" w:eastAsia="仿宋_GB2312"/>
          <w:color w:val="auto"/>
          <w:sz w:val="32"/>
          <w:szCs w:val="32"/>
          <w:lang w:val="en-US"/>
        </w:rPr>
        <w:t>1,740.25</w:t>
      </w:r>
      <w:r>
        <w:rPr>
          <w:rFonts w:hint="eastAsia" w:ascii="仿宋_GB2312" w:hAnsi="ˎ̥" w:eastAsia="仿宋_GB2312"/>
          <w:sz w:val="32"/>
          <w:szCs w:val="32"/>
        </w:rPr>
        <w:t>万元。</w:t>
      </w:r>
    </w:p>
    <w:p w14:paraId="392F1E9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使用非财政拨款结余</w:t>
      </w:r>
      <w:r>
        <w:rPr>
          <w:rFonts w:hint="default" w:ascii="仿宋_GB2312" w:hAnsi="ˎ̥" w:eastAsia="仿宋_GB2312"/>
          <w:color w:val="auto"/>
          <w:sz w:val="32"/>
          <w:szCs w:val="32"/>
          <w:lang w:val="en-US"/>
        </w:rPr>
        <w:t>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年初结转结余</w:t>
      </w:r>
      <w:r>
        <w:rPr>
          <w:rFonts w:hint="default" w:ascii="仿宋_GB2312" w:hAnsi="ˎ̥" w:eastAsia="仿宋_GB2312"/>
          <w:color w:val="auto"/>
          <w:sz w:val="32"/>
          <w:szCs w:val="32"/>
          <w:lang w:val="en-US"/>
        </w:rPr>
        <w:t>0</w:t>
      </w:r>
      <w:r>
        <w:rPr>
          <w:rFonts w:hint="eastAsia" w:ascii="仿宋_GB2312" w:hAnsi="ˎ̥" w:eastAsia="仿宋_GB2312"/>
          <w:sz w:val="32"/>
          <w:szCs w:val="32"/>
        </w:rPr>
        <w:t>万元，。</w:t>
      </w:r>
    </w:p>
    <w:p w14:paraId="776E589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14:paraId="15C7C80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auto"/>
          <w:sz w:val="32"/>
          <w:szCs w:val="32"/>
          <w:lang w:val="en-US"/>
        </w:rPr>
        <w:t>1,739.47</w:t>
      </w:r>
      <w:r>
        <w:rPr>
          <w:rFonts w:hint="eastAsia" w:ascii="仿宋_GB2312" w:hAnsi="ˎ̥" w:eastAsia="仿宋_GB2312"/>
          <w:sz w:val="32"/>
          <w:szCs w:val="32"/>
        </w:rPr>
        <w:t>万元。</w:t>
      </w:r>
    </w:p>
    <w:p w14:paraId="7FA922A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结余分配</w:t>
      </w:r>
      <w:r>
        <w:rPr>
          <w:rFonts w:hint="default" w:ascii="仿宋_GB2312" w:hAnsi="ˎ̥" w:eastAsia="仿宋_GB2312"/>
          <w:color w:val="auto"/>
          <w:sz w:val="32"/>
          <w:szCs w:val="32"/>
          <w:lang w:val="en-US"/>
        </w:rPr>
        <w:t>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年末结转结余</w:t>
      </w:r>
      <w:r>
        <w:rPr>
          <w:rFonts w:hint="default" w:ascii="仿宋_GB2312" w:hAnsi="ˎ̥" w:eastAsia="仿宋_GB2312"/>
          <w:color w:val="auto"/>
          <w:sz w:val="32"/>
          <w:szCs w:val="32"/>
          <w:lang w:val="en-US"/>
        </w:rPr>
        <w:t>0.78</w:t>
      </w:r>
      <w:r>
        <w:rPr>
          <w:rFonts w:hint="eastAsia" w:ascii="仿宋_GB2312" w:hAnsi="ˎ̥" w:eastAsia="仿宋_GB2312"/>
          <w:sz w:val="32"/>
          <w:szCs w:val="32"/>
        </w:rPr>
        <w:t>万元，</w:t>
      </w:r>
      <w:r>
        <w:rPr>
          <w:rFonts w:hint="eastAsia" w:ascii="仿宋_GB2312" w:hAnsi="ˎ̥" w:eastAsia="仿宋_GB2312"/>
          <w:sz w:val="32"/>
          <w:szCs w:val="32"/>
          <w:lang w:val="en-US" w:eastAsia="zh-CN"/>
        </w:rPr>
        <w:t>全部为城乡义务教育补助项目结转结余。</w:t>
      </w:r>
    </w:p>
    <w:p w14:paraId="4B59E6AE">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ˎ̥" w:eastAsia="仿宋_GB2312"/>
          <w:sz w:val="32"/>
          <w:szCs w:val="32"/>
          <w:lang w:val="en-US" w:eastAsia="zh-CN"/>
        </w:rPr>
      </w:pPr>
      <w:r>
        <w:rPr>
          <w:rFonts w:hint="eastAsia" w:ascii="仿宋_GB2312" w:hAnsi="ˎ̥" w:eastAsia="仿宋_GB2312"/>
          <w:sz w:val="32"/>
          <w:szCs w:val="32"/>
        </w:rPr>
        <w:t xml:space="preserve">   </w:t>
      </w:r>
      <w:r>
        <w:rPr>
          <w:rFonts w:hint="eastAsia" w:ascii="仿宋_GB2312" w:hAnsi="ˎ̥" w:eastAsia="仿宋_GB2312"/>
          <w:sz w:val="32"/>
          <w:szCs w:val="32"/>
          <w:lang w:val="en-US" w:eastAsia="zh-CN"/>
        </w:rPr>
        <w:t xml:space="preserve"> </w:t>
      </w: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default" w:ascii="仿宋_GB2312" w:hAnsi="ˎ̥" w:eastAsia="仿宋_GB2312"/>
          <w:color w:val="auto"/>
          <w:sz w:val="32"/>
          <w:szCs w:val="32"/>
          <w:lang w:val="en-US"/>
        </w:rPr>
        <w:t>1,740.25</w:t>
      </w:r>
      <w:r>
        <w:rPr>
          <w:rFonts w:hint="eastAsia" w:ascii="仿宋_GB2312" w:hAnsi="ˎ̥" w:eastAsia="仿宋_GB2312"/>
          <w:sz w:val="32"/>
          <w:szCs w:val="32"/>
        </w:rPr>
        <w:t>万元，其中：财政拨款收入</w:t>
      </w:r>
      <w:r>
        <w:rPr>
          <w:rFonts w:hint="default" w:ascii="仿宋_GB2312" w:hAnsi="ˎ̥" w:eastAsia="仿宋_GB2312"/>
          <w:color w:val="auto"/>
          <w:sz w:val="32"/>
          <w:szCs w:val="32"/>
          <w:lang w:val="en-US"/>
        </w:rPr>
        <w:t>1,699.88</w:t>
      </w:r>
      <w:r>
        <w:rPr>
          <w:rFonts w:hint="eastAsia" w:ascii="仿宋_GB2312" w:hAnsi="ˎ̥" w:eastAsia="仿宋_GB2312"/>
          <w:sz w:val="32"/>
          <w:szCs w:val="32"/>
        </w:rPr>
        <w:t>万元，占</w:t>
      </w:r>
      <w:r>
        <w:rPr>
          <w:rFonts w:hint="eastAsia" w:ascii="仿宋_GB2312" w:hAnsi="ˎ̥" w:eastAsia="仿宋_GB2312"/>
          <w:color w:val="auto"/>
          <w:sz w:val="32"/>
          <w:szCs w:val="32"/>
          <w:lang w:val="en-US" w:eastAsia="zh-CN"/>
        </w:rPr>
        <w:t>97.7</w:t>
      </w:r>
      <w:r>
        <w:rPr>
          <w:rFonts w:hint="eastAsia" w:ascii="仿宋_GB2312" w:hAnsi="ˎ̥" w:eastAsia="仿宋_GB2312"/>
          <w:sz w:val="32"/>
          <w:szCs w:val="32"/>
        </w:rPr>
        <w:t>%；其他收入</w:t>
      </w:r>
      <w:r>
        <w:rPr>
          <w:rFonts w:hint="default" w:ascii="仿宋_GB2312" w:hAnsi="ˎ̥" w:eastAsia="仿宋_GB2312"/>
          <w:color w:val="auto"/>
          <w:sz w:val="32"/>
          <w:szCs w:val="32"/>
          <w:lang w:val="en-US"/>
        </w:rPr>
        <w:t>40.37</w:t>
      </w:r>
      <w:r>
        <w:rPr>
          <w:rFonts w:hint="eastAsia" w:ascii="仿宋_GB2312" w:hAnsi="ˎ̥" w:eastAsia="仿宋_GB2312"/>
          <w:sz w:val="32"/>
          <w:szCs w:val="32"/>
        </w:rPr>
        <w:t>万元，占</w:t>
      </w:r>
      <w:r>
        <w:rPr>
          <w:rFonts w:hint="eastAsia" w:ascii="仿宋_GB2312" w:hAnsi="ˎ̥" w:eastAsia="仿宋_GB2312"/>
          <w:color w:val="auto"/>
          <w:sz w:val="32"/>
          <w:szCs w:val="32"/>
          <w:lang w:val="en-US" w:eastAsia="zh-CN"/>
        </w:rPr>
        <w:t>2.3</w:t>
      </w:r>
      <w:r>
        <w:rPr>
          <w:rFonts w:hint="eastAsia" w:ascii="仿宋_GB2312" w:hAnsi="ˎ̥" w:eastAsia="仿宋_GB2312"/>
          <w:sz w:val="32"/>
          <w:szCs w:val="32"/>
        </w:rPr>
        <w:t>%。</w:t>
      </w:r>
      <w:r>
        <w:rPr>
          <w:rFonts w:hint="eastAsia" w:ascii="仿宋_GB2312" w:hAnsi="ˎ̥" w:eastAsia="仿宋_GB2312"/>
          <w:sz w:val="32"/>
          <w:szCs w:val="32"/>
          <w:lang w:val="en-US" w:eastAsia="zh-CN"/>
        </w:rPr>
        <w:t>本单位为2024年新增预算拨款单位，无2023年对比数据。</w:t>
      </w:r>
    </w:p>
    <w:p w14:paraId="71E4F4D6">
      <w:pPr>
        <w:keepNext w:val="0"/>
        <w:keepLines w:val="0"/>
        <w:pageBreakBefore w:val="0"/>
        <w:widowControl w:val="0"/>
        <w:kinsoku/>
        <w:wordWrap/>
        <w:overflowPunct/>
        <w:topLinePunct w:val="0"/>
        <w:autoSpaceDE/>
        <w:autoSpaceDN/>
        <w:bidi w:val="0"/>
        <w:adjustRightInd/>
        <w:snapToGrid/>
        <w:spacing w:line="578" w:lineRule="exact"/>
        <w:ind w:left="412" w:leftChars="196"/>
        <w:textAlignment w:val="auto"/>
        <w:rPr>
          <w:rFonts w:hint="eastAsia" w:ascii="黑体" w:hAnsi="黑体" w:eastAsia="黑体" w:cs="黑体"/>
          <w:bCs/>
          <w:sz w:val="32"/>
          <w:szCs w:val="32"/>
        </w:rPr>
      </w:pPr>
      <w:r>
        <w:rPr>
          <w:rFonts w:hint="eastAsia" w:ascii="仿宋_GB2312" w:hAnsi="ˎ̥" w:eastAsia="仿宋_GB2312"/>
          <w:sz w:val="32"/>
          <w:szCs w:val="32"/>
        </w:rPr>
        <w:t xml:space="preserve">  </w:t>
      </w:r>
      <w:r>
        <w:rPr>
          <w:rFonts w:hint="eastAsia" w:ascii="黑体" w:hAnsi="黑体" w:eastAsia="黑体" w:cs="黑体"/>
          <w:bCs/>
          <w:sz w:val="32"/>
          <w:szCs w:val="32"/>
        </w:rPr>
        <w:t>三、支出决算情况说明</w:t>
      </w:r>
    </w:p>
    <w:p w14:paraId="3597544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rPr>
        <w:t>本年支出</w:t>
      </w:r>
      <w:r>
        <w:rPr>
          <w:rFonts w:hint="default" w:ascii="仿宋_GB2312" w:hAnsi="ˎ̥" w:eastAsia="仿宋_GB2312"/>
          <w:color w:val="auto"/>
          <w:sz w:val="32"/>
          <w:szCs w:val="32"/>
          <w:lang w:val="en-US"/>
        </w:rPr>
        <w:t>1,739.47</w:t>
      </w:r>
      <w:r>
        <w:rPr>
          <w:rFonts w:hint="eastAsia" w:ascii="仿宋_GB2312" w:hAnsi="ˎ̥" w:eastAsia="仿宋_GB2312"/>
          <w:sz w:val="32"/>
          <w:szCs w:val="32"/>
        </w:rPr>
        <w:t>万元，其中：基本支出</w:t>
      </w:r>
      <w:r>
        <w:rPr>
          <w:rFonts w:hint="default" w:ascii="仿宋_GB2312" w:hAnsi="ˎ̥" w:eastAsia="仿宋_GB2312"/>
          <w:color w:val="auto"/>
          <w:sz w:val="32"/>
          <w:szCs w:val="32"/>
          <w:lang w:val="en-US"/>
        </w:rPr>
        <w:t>1,374.46</w:t>
      </w:r>
      <w:r>
        <w:rPr>
          <w:rFonts w:hint="eastAsia" w:ascii="仿宋_GB2312" w:hAnsi="ˎ̥" w:eastAsia="仿宋_GB2312"/>
          <w:sz w:val="32"/>
          <w:szCs w:val="32"/>
        </w:rPr>
        <w:t>万元，占</w:t>
      </w:r>
      <w:r>
        <w:rPr>
          <w:rFonts w:hint="eastAsia" w:ascii="仿宋_GB2312" w:hAnsi="ˎ̥" w:eastAsia="仿宋_GB2312"/>
          <w:color w:val="auto"/>
          <w:sz w:val="32"/>
          <w:szCs w:val="32"/>
          <w:lang w:val="en-US" w:eastAsia="zh-CN"/>
        </w:rPr>
        <w:t>79</w:t>
      </w:r>
      <w:r>
        <w:rPr>
          <w:rFonts w:hint="eastAsia" w:ascii="仿宋_GB2312" w:hAnsi="ˎ̥" w:eastAsia="仿宋_GB2312"/>
          <w:sz w:val="32"/>
          <w:szCs w:val="32"/>
        </w:rPr>
        <w:t>%；项目支出</w:t>
      </w:r>
      <w:r>
        <w:rPr>
          <w:rFonts w:hint="default" w:ascii="仿宋_GB2312" w:hAnsi="ˎ̥" w:eastAsia="仿宋_GB2312"/>
          <w:color w:val="auto"/>
          <w:sz w:val="32"/>
          <w:szCs w:val="32"/>
          <w:lang w:val="en-US"/>
        </w:rPr>
        <w:t>365.01</w:t>
      </w:r>
      <w:r>
        <w:rPr>
          <w:rFonts w:hint="eastAsia" w:ascii="仿宋_GB2312" w:hAnsi="ˎ̥" w:eastAsia="仿宋_GB2312"/>
          <w:sz w:val="32"/>
          <w:szCs w:val="32"/>
        </w:rPr>
        <w:t>万元，占</w:t>
      </w:r>
      <w:r>
        <w:rPr>
          <w:rFonts w:hint="eastAsia" w:ascii="仿宋_GB2312" w:hAnsi="ˎ̥" w:eastAsia="仿宋_GB2312"/>
          <w:color w:val="auto"/>
          <w:sz w:val="32"/>
          <w:szCs w:val="32"/>
          <w:lang w:val="en-US" w:eastAsia="zh-CN"/>
        </w:rPr>
        <w:t>21</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本单位为2024年新增预算拨款单位，无2023年对比数据。</w:t>
      </w:r>
    </w:p>
    <w:p w14:paraId="1DD88424">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14:paraId="3A31DD0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年度财政拨款收入</w:t>
      </w:r>
      <w:r>
        <w:rPr>
          <w:rFonts w:hint="default" w:ascii="仿宋_GB2312" w:hAnsi="ˎ̥" w:eastAsia="仿宋_GB2312"/>
          <w:color w:val="auto"/>
          <w:sz w:val="32"/>
          <w:szCs w:val="32"/>
          <w:lang w:val="en-US"/>
        </w:rPr>
        <w:t>1,699.88</w:t>
      </w:r>
      <w:r>
        <w:rPr>
          <w:rFonts w:hint="eastAsia" w:ascii="仿宋_GB2312" w:hAnsi="ˎ̥" w:eastAsia="仿宋_GB2312"/>
          <w:sz w:val="32"/>
          <w:szCs w:val="32"/>
        </w:rPr>
        <w:t>万元，支出</w:t>
      </w:r>
      <w:r>
        <w:rPr>
          <w:rFonts w:hint="default" w:ascii="仿宋_GB2312" w:hAnsi="ˎ̥" w:eastAsia="仿宋_GB2312"/>
          <w:color w:val="auto"/>
          <w:sz w:val="32"/>
          <w:szCs w:val="32"/>
          <w:lang w:val="en-US"/>
        </w:rPr>
        <w:t>1,699.10</w:t>
      </w:r>
      <w:r>
        <w:rPr>
          <w:rFonts w:hint="eastAsia" w:ascii="仿宋_GB2312" w:hAnsi="ˎ̥" w:eastAsia="仿宋_GB2312"/>
          <w:sz w:val="32"/>
          <w:szCs w:val="32"/>
        </w:rPr>
        <w:t>万元。</w:t>
      </w:r>
      <w:r>
        <w:rPr>
          <w:rFonts w:hint="eastAsia" w:ascii="仿宋_GB2312" w:hAnsi="ˎ̥" w:eastAsia="仿宋_GB2312"/>
          <w:sz w:val="32"/>
          <w:szCs w:val="32"/>
          <w:lang w:val="en-US" w:eastAsia="zh-CN"/>
        </w:rPr>
        <w:t>本单位为2024年新增预算拨款单位，无2023年对比数据。</w:t>
      </w:r>
    </w:p>
    <w:p w14:paraId="405D85C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财政拨款年初结转结余</w:t>
      </w:r>
      <w:r>
        <w:rPr>
          <w:rFonts w:hint="default" w:ascii="仿宋_GB2312" w:hAnsi="ˎ̥" w:eastAsia="仿宋_GB2312"/>
          <w:color w:val="auto"/>
          <w:sz w:val="32"/>
          <w:szCs w:val="32"/>
          <w:lang w:val="en-US"/>
        </w:rPr>
        <w:t>0</w:t>
      </w:r>
      <w:r>
        <w:rPr>
          <w:rFonts w:hint="eastAsia" w:ascii="仿宋_GB2312" w:hAnsi="ˎ̥" w:eastAsia="仿宋_GB2312"/>
          <w:sz w:val="32"/>
          <w:szCs w:val="32"/>
        </w:rPr>
        <w:t>万元。</w:t>
      </w:r>
    </w:p>
    <w:p w14:paraId="2B79037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财政拨款年末结转结余</w:t>
      </w:r>
      <w:r>
        <w:rPr>
          <w:rFonts w:hint="default" w:ascii="仿宋_GB2312" w:hAnsi="ˎ̥" w:eastAsia="仿宋_GB2312"/>
          <w:color w:val="auto"/>
          <w:sz w:val="32"/>
          <w:szCs w:val="32"/>
          <w:lang w:val="en-US"/>
        </w:rPr>
        <w:t>0.78</w:t>
      </w:r>
      <w:r>
        <w:rPr>
          <w:rFonts w:hint="eastAsia" w:ascii="仿宋_GB2312" w:hAnsi="ˎ̥" w:eastAsia="仿宋_GB2312"/>
          <w:sz w:val="32"/>
          <w:szCs w:val="32"/>
        </w:rPr>
        <w:t>万元。</w:t>
      </w:r>
    </w:p>
    <w:p w14:paraId="4A90FC3A">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14:paraId="71F6557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77" w:name="_Toc23005_WPSOffice_Level2"/>
      <w:bookmarkStart w:id="78" w:name="_Toc21737_WPSOffice_Level2"/>
      <w:bookmarkStart w:id="79" w:name="_Toc9989_WPSOffice_Level2"/>
      <w:bookmarkStart w:id="80" w:name="_Toc17398_WPSOffice_Level2"/>
      <w:bookmarkStart w:id="81" w:name="_Toc19665_WPSOffice_Level2"/>
      <w:bookmarkStart w:id="82" w:name="_Toc13694_WPSOffice_Level2"/>
      <w:r>
        <w:rPr>
          <w:rFonts w:hint="eastAsia" w:ascii="楷体" w:hAnsi="楷体" w:eastAsia="楷体" w:cs="楷体"/>
          <w:sz w:val="32"/>
          <w:szCs w:val="32"/>
        </w:rPr>
        <w:t>（一）一般公共预算财政拨款支出决算总体情况</w:t>
      </w:r>
      <w:bookmarkEnd w:id="77"/>
      <w:bookmarkEnd w:id="78"/>
      <w:bookmarkEnd w:id="79"/>
      <w:bookmarkEnd w:id="80"/>
      <w:bookmarkEnd w:id="81"/>
      <w:bookmarkEnd w:id="82"/>
    </w:p>
    <w:p w14:paraId="542E00A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auto"/>
          <w:sz w:val="32"/>
          <w:szCs w:val="32"/>
          <w:lang w:val="en-US"/>
        </w:rPr>
        <w:t>1,699.1</w:t>
      </w:r>
      <w:r>
        <w:rPr>
          <w:rFonts w:hint="eastAsia" w:ascii="仿宋_GB2312" w:hAnsi="ˎ̥" w:eastAsia="仿宋_GB2312"/>
          <w:sz w:val="32"/>
          <w:szCs w:val="32"/>
        </w:rPr>
        <w:t>万元，占本年支出合计的</w:t>
      </w:r>
      <w:r>
        <w:rPr>
          <w:rFonts w:hint="eastAsia" w:ascii="仿宋_GB2312" w:hAnsi="ˎ̥" w:eastAsia="仿宋_GB2312"/>
          <w:color w:val="auto"/>
          <w:sz w:val="32"/>
          <w:szCs w:val="32"/>
          <w:lang w:val="en-US" w:eastAsia="zh-CN"/>
        </w:rPr>
        <w:t>97.7</w:t>
      </w:r>
      <w:r>
        <w:rPr>
          <w:rFonts w:hint="eastAsia" w:ascii="仿宋_GB2312" w:hAnsi="ˎ̥" w:eastAsia="仿宋_GB2312"/>
          <w:sz w:val="32"/>
          <w:szCs w:val="32"/>
        </w:rPr>
        <w:t>%。</w:t>
      </w:r>
      <w:bookmarkStart w:id="83" w:name="_Toc23864_WPSOffice_Level2"/>
      <w:bookmarkStart w:id="84" w:name="_Toc18793_WPSOffice_Level2"/>
      <w:bookmarkStart w:id="85" w:name="_Toc19075_WPSOffice_Level2"/>
      <w:bookmarkStart w:id="86" w:name="_Toc27767_WPSOffice_Level2"/>
      <w:bookmarkStart w:id="87" w:name="_Toc2711_WPSOffice_Level2"/>
      <w:bookmarkStart w:id="88" w:name="_Toc19535_WPSOffice_Level2"/>
    </w:p>
    <w:p w14:paraId="707C8F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（二）一般公共预算财政拨款支出决算结构情况</w:t>
      </w:r>
      <w:bookmarkEnd w:id="83"/>
      <w:bookmarkEnd w:id="84"/>
      <w:bookmarkEnd w:id="85"/>
      <w:bookmarkEnd w:id="86"/>
      <w:bookmarkEnd w:id="87"/>
      <w:bookmarkEnd w:id="88"/>
    </w:p>
    <w:p w14:paraId="7F9DF36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sz w:val="32"/>
          <w:szCs w:val="32"/>
          <w:lang w:val="en-US"/>
        </w:rPr>
        <w:t>1,699.1</w:t>
      </w:r>
      <w:r>
        <w:rPr>
          <w:rFonts w:hint="eastAsia" w:ascii="仿宋_GB2312" w:hAnsi="ˎ̥" w:eastAsia="仿宋_GB2312"/>
          <w:sz w:val="32"/>
          <w:szCs w:val="32"/>
        </w:rPr>
        <w:t>万元，主要用于以下方面：</w:t>
      </w:r>
      <w:r>
        <w:rPr>
          <w:rFonts w:hint="eastAsia" w:ascii="仿宋_GB2312" w:hAnsi="ˎ̥" w:eastAsia="仿宋_GB2312"/>
          <w:sz w:val="32"/>
          <w:szCs w:val="32"/>
          <w:lang w:val="en-US" w:eastAsia="zh-CN"/>
        </w:rPr>
        <w:t>教育支出</w:t>
      </w:r>
      <w:r>
        <w:rPr>
          <w:rFonts w:hint="eastAsia" w:ascii="仿宋_GB2312" w:hAnsi="ˎ̥" w:eastAsia="仿宋_GB2312"/>
          <w:sz w:val="32"/>
          <w:szCs w:val="32"/>
        </w:rPr>
        <w:t>（类）支出</w:t>
      </w:r>
      <w:r>
        <w:rPr>
          <w:rFonts w:hint="eastAsia" w:ascii="仿宋_GB2312" w:hAnsi="ˎ̥" w:eastAsia="仿宋_GB2312"/>
          <w:sz w:val="32"/>
          <w:szCs w:val="32"/>
          <w:lang w:val="en-US" w:eastAsia="zh-CN"/>
        </w:rPr>
        <w:t>1546.42</w:t>
      </w:r>
      <w:r>
        <w:rPr>
          <w:rFonts w:hint="eastAsia" w:ascii="仿宋_GB2312" w:hAnsi="ˎ̥" w:eastAsia="仿宋_GB2312"/>
          <w:sz w:val="32"/>
          <w:szCs w:val="32"/>
        </w:rPr>
        <w:t>万元，占</w:t>
      </w:r>
      <w:r>
        <w:rPr>
          <w:rFonts w:hint="eastAsia" w:ascii="仿宋_GB2312" w:hAnsi="ˎ̥" w:eastAsia="仿宋_GB2312"/>
          <w:sz w:val="32"/>
          <w:szCs w:val="32"/>
          <w:lang w:val="en-US" w:eastAsia="zh-CN"/>
        </w:rPr>
        <w:t>91</w:t>
      </w:r>
      <w:r>
        <w:rPr>
          <w:rFonts w:hint="eastAsia" w:ascii="仿宋_GB2312" w:hAnsi="ˎ̥" w:eastAsia="仿宋_GB2312"/>
          <w:sz w:val="32"/>
          <w:szCs w:val="32"/>
        </w:rPr>
        <w:t>%；社会保障和就业（类）支出</w:t>
      </w:r>
      <w:r>
        <w:rPr>
          <w:rFonts w:hint="eastAsia" w:ascii="仿宋_GB2312" w:hAnsi="ˎ̥" w:eastAsia="仿宋_GB2312"/>
          <w:sz w:val="32"/>
          <w:szCs w:val="32"/>
          <w:lang w:val="en-US" w:eastAsia="zh-CN"/>
        </w:rPr>
        <w:t>88.36</w:t>
      </w:r>
      <w:r>
        <w:rPr>
          <w:rFonts w:hint="eastAsia" w:ascii="仿宋_GB2312" w:hAnsi="ˎ̥" w:eastAsia="仿宋_GB2312"/>
          <w:sz w:val="32"/>
          <w:szCs w:val="32"/>
        </w:rPr>
        <w:t>万元，占</w:t>
      </w:r>
      <w:r>
        <w:rPr>
          <w:rFonts w:hint="eastAsia" w:ascii="仿宋_GB2312" w:hAnsi="ˎ̥" w:eastAsia="仿宋_GB2312"/>
          <w:sz w:val="32"/>
          <w:szCs w:val="32"/>
          <w:lang w:val="en-US" w:eastAsia="zh-CN"/>
        </w:rPr>
        <w:t>5.2</w:t>
      </w:r>
      <w:r>
        <w:rPr>
          <w:rFonts w:hint="eastAsia" w:ascii="仿宋_GB2312" w:hAnsi="ˎ̥" w:eastAsia="仿宋_GB2312"/>
          <w:sz w:val="32"/>
          <w:szCs w:val="32"/>
        </w:rPr>
        <w:t>%；</w:t>
      </w:r>
      <w:r>
        <w:rPr>
          <w:rFonts w:hint="eastAsia" w:ascii="仿宋_GB2312" w:hAnsi="ˎ̥" w:eastAsia="仿宋_GB2312"/>
          <w:sz w:val="32"/>
          <w:szCs w:val="32"/>
          <w:lang w:val="en-US" w:eastAsia="zh-CN"/>
        </w:rPr>
        <w:t>卫生健康支出19.68万元，占1.2%</w:t>
      </w:r>
      <w:r>
        <w:rPr>
          <w:rFonts w:hint="eastAsia" w:ascii="仿宋_GB2312" w:hAnsi="ˎ̥" w:eastAsia="仿宋_GB2312"/>
          <w:sz w:val="32"/>
          <w:szCs w:val="32"/>
        </w:rPr>
        <w:t>住房保障（类）支出</w:t>
      </w:r>
      <w:r>
        <w:rPr>
          <w:rFonts w:hint="eastAsia" w:ascii="仿宋_GB2312" w:hAnsi="ˎ̥" w:eastAsia="仿宋_GB2312"/>
          <w:sz w:val="32"/>
          <w:szCs w:val="32"/>
          <w:lang w:val="en-US" w:eastAsia="zh-CN"/>
        </w:rPr>
        <w:t>44.64</w:t>
      </w:r>
      <w:r>
        <w:rPr>
          <w:rFonts w:hint="eastAsia" w:ascii="仿宋_GB2312" w:hAnsi="ˎ̥" w:eastAsia="仿宋_GB2312"/>
          <w:sz w:val="32"/>
          <w:szCs w:val="32"/>
        </w:rPr>
        <w:t>万元，占</w:t>
      </w:r>
      <w:r>
        <w:rPr>
          <w:rFonts w:hint="eastAsia" w:ascii="仿宋_GB2312" w:hAnsi="ˎ̥" w:eastAsia="仿宋_GB2312"/>
          <w:sz w:val="32"/>
          <w:szCs w:val="32"/>
          <w:lang w:val="en-US" w:eastAsia="zh-CN"/>
        </w:rPr>
        <w:t>2.6</w:t>
      </w:r>
      <w:r>
        <w:rPr>
          <w:rFonts w:hint="eastAsia" w:ascii="仿宋_GB2312" w:hAnsi="ˎ̥" w:eastAsia="仿宋_GB2312"/>
          <w:sz w:val="32"/>
          <w:szCs w:val="32"/>
        </w:rPr>
        <w:t>%。</w:t>
      </w:r>
    </w:p>
    <w:p w14:paraId="6010CF4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9" w:name="_Toc25136_WPSOffice_Level2"/>
      <w:bookmarkStart w:id="90" w:name="_Toc21701_WPSOffice_Level2"/>
      <w:bookmarkStart w:id="91" w:name="_Toc29364_WPSOffice_Level2"/>
      <w:bookmarkStart w:id="92" w:name="_Toc22318_WPSOffice_Level2"/>
      <w:bookmarkStart w:id="93" w:name="_Toc9502_WPSOffice_Level2"/>
      <w:bookmarkStart w:id="94" w:name="_Toc15415_WPSOffice_Level2"/>
      <w:r>
        <w:rPr>
          <w:rFonts w:hint="eastAsia" w:ascii="楷体" w:hAnsi="楷体" w:eastAsia="楷体" w:cs="楷体"/>
          <w:sz w:val="32"/>
          <w:szCs w:val="32"/>
        </w:rPr>
        <w:t>（三）一般公共预算财政拨款支出决算具体情况</w:t>
      </w:r>
      <w:bookmarkEnd w:id="89"/>
      <w:bookmarkEnd w:id="90"/>
      <w:bookmarkEnd w:id="91"/>
      <w:bookmarkEnd w:id="92"/>
      <w:bookmarkEnd w:id="93"/>
      <w:bookmarkEnd w:id="94"/>
    </w:p>
    <w:p w14:paraId="210F3D2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年度一般公共预算财政拨款支出年初预算为</w:t>
      </w:r>
      <w:r>
        <w:rPr>
          <w:rFonts w:hint="eastAsia" w:ascii="仿宋_GB2312" w:hAnsi="ˎ̥" w:eastAsia="仿宋_GB2312"/>
          <w:color w:val="auto"/>
          <w:sz w:val="32"/>
          <w:szCs w:val="32"/>
          <w:lang w:val="en-US" w:eastAsia="zh-CN"/>
        </w:rPr>
        <w:t>1236.09</w:t>
      </w:r>
      <w:r>
        <w:rPr>
          <w:rFonts w:hint="eastAsia" w:ascii="仿宋_GB2312" w:hAnsi="ˎ̥" w:eastAsia="仿宋_GB2312"/>
          <w:sz w:val="32"/>
          <w:szCs w:val="32"/>
        </w:rPr>
        <w:t>万元，支出决算为</w:t>
      </w:r>
      <w:r>
        <w:rPr>
          <w:rFonts w:hint="default" w:ascii="仿宋_GB2312" w:hAnsi="ˎ̥" w:eastAsia="仿宋_GB2312"/>
          <w:color w:val="auto"/>
          <w:sz w:val="32"/>
          <w:szCs w:val="32"/>
          <w:lang w:val="en-US"/>
        </w:rPr>
        <w:t>1,699.1</w:t>
      </w:r>
      <w:r>
        <w:rPr>
          <w:rFonts w:hint="eastAsia" w:ascii="仿宋_GB2312" w:hAnsi="ˎ̥" w:eastAsia="仿宋_GB2312"/>
          <w:sz w:val="32"/>
          <w:szCs w:val="32"/>
        </w:rPr>
        <w:t>万元，完成年初预算的</w:t>
      </w:r>
      <w:r>
        <w:rPr>
          <w:rFonts w:hint="eastAsia" w:ascii="仿宋_GB2312" w:hAnsi="ˎ̥" w:eastAsia="仿宋_GB2312"/>
          <w:color w:val="auto"/>
          <w:sz w:val="32"/>
          <w:szCs w:val="32"/>
          <w:lang w:val="en-US" w:eastAsia="zh-CN"/>
        </w:rPr>
        <w:t>137.45</w:t>
      </w:r>
      <w:r>
        <w:rPr>
          <w:rFonts w:hint="eastAsia" w:ascii="仿宋_GB2312" w:hAnsi="ˎ̥" w:eastAsia="仿宋_GB2312"/>
          <w:sz w:val="32"/>
          <w:szCs w:val="32"/>
        </w:rPr>
        <w:t>%。其中：</w:t>
      </w:r>
    </w:p>
    <w:p w14:paraId="2FD7639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b/>
          <w:sz w:val="32"/>
          <w:szCs w:val="32"/>
          <w:lang w:val="en-US" w:eastAsia="zh-CN"/>
        </w:rPr>
        <w:t>教育支出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普通教育</w:t>
      </w:r>
      <w:r>
        <w:rPr>
          <w:rFonts w:hint="eastAsia" w:ascii="仿宋_GB2312" w:hAnsi="ˎ̥" w:eastAsia="仿宋_GB2312"/>
          <w:b/>
          <w:sz w:val="32"/>
          <w:szCs w:val="32"/>
        </w:rPr>
        <w:t>（款）</w:t>
      </w:r>
      <w:r>
        <w:rPr>
          <w:rFonts w:hint="eastAsia" w:ascii="仿宋_GB2312" w:hAnsi="ˎ̥" w:eastAsia="仿宋_GB2312"/>
          <w:b/>
          <w:sz w:val="32"/>
          <w:szCs w:val="32"/>
          <w:lang w:val="en-US" w:eastAsia="zh-CN"/>
        </w:rPr>
        <w:t>小学教育</w:t>
      </w:r>
      <w:r>
        <w:rPr>
          <w:rFonts w:hint="eastAsia" w:ascii="仿宋_GB2312" w:hAnsi="ˎ̥" w:eastAsia="仿宋_GB2312"/>
          <w:b/>
          <w:sz w:val="32"/>
          <w:szCs w:val="32"/>
        </w:rPr>
        <w:t>（项）。</w:t>
      </w:r>
    </w:p>
    <w:p w14:paraId="4FEF0C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color w:val="auto"/>
          <w:sz w:val="32"/>
          <w:szCs w:val="32"/>
          <w:lang w:val="en-US" w:eastAsia="zh-CN"/>
        </w:rPr>
        <w:t>1236.09</w:t>
      </w:r>
      <w:r>
        <w:rPr>
          <w:rFonts w:hint="eastAsia" w:ascii="仿宋_GB2312" w:hAnsi="ˎ̥" w:eastAsia="仿宋_GB2312"/>
          <w:sz w:val="32"/>
          <w:szCs w:val="32"/>
        </w:rPr>
        <w:t>万元，支出决算为</w:t>
      </w:r>
      <w:r>
        <w:rPr>
          <w:rFonts w:hint="eastAsia" w:ascii="仿宋_GB2312" w:hAnsi="ˎ̥" w:eastAsia="仿宋_GB2312"/>
          <w:color w:val="auto"/>
          <w:sz w:val="32"/>
          <w:szCs w:val="32"/>
          <w:lang w:val="en-US" w:eastAsia="zh-CN"/>
        </w:rPr>
        <w:t>1546.42</w:t>
      </w:r>
      <w:r>
        <w:rPr>
          <w:rFonts w:hint="eastAsia" w:ascii="仿宋_GB2312" w:hAnsi="ˎ̥" w:eastAsia="仿宋_GB2312"/>
          <w:sz w:val="32"/>
          <w:szCs w:val="32"/>
        </w:rPr>
        <w:t>万元，完成年初预算的</w:t>
      </w:r>
      <w:r>
        <w:rPr>
          <w:rFonts w:hint="eastAsia" w:ascii="仿宋_GB2312" w:hAnsi="ˎ̥" w:eastAsia="仿宋_GB2312"/>
          <w:color w:val="auto"/>
          <w:sz w:val="32"/>
          <w:szCs w:val="32"/>
          <w:lang w:val="en-US" w:eastAsia="zh-CN"/>
        </w:rPr>
        <w:t>125.1</w:t>
      </w:r>
      <w:r>
        <w:rPr>
          <w:rFonts w:hint="eastAsia" w:ascii="仿宋_GB2312" w:hAnsi="ˎ̥" w:eastAsia="仿宋_GB2312"/>
          <w:sz w:val="32"/>
          <w:szCs w:val="32"/>
        </w:rPr>
        <w:t>%。决算数大于预算数的主要原因：</w:t>
      </w:r>
      <w:r>
        <w:rPr>
          <w:rFonts w:hint="eastAsia" w:ascii="仿宋_GB2312" w:hAnsi="ˎ̥" w:eastAsia="仿宋_GB2312"/>
          <w:sz w:val="32"/>
          <w:szCs w:val="32"/>
          <w:lang w:val="en-US" w:eastAsia="zh-CN"/>
        </w:rPr>
        <w:t>我校2024年8月份，新增82名在编人员，相应增加人员经费支出310.32万元。</w:t>
      </w:r>
    </w:p>
    <w:p w14:paraId="29FC4F01">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b/>
          <w:sz w:val="32"/>
          <w:szCs w:val="32"/>
          <w:lang w:val="en-US" w:eastAsia="zh-CN"/>
        </w:rPr>
      </w:pPr>
      <w:r>
        <w:rPr>
          <w:rFonts w:hint="eastAsia" w:ascii="仿宋_GB2312" w:hAnsi="ˎ̥" w:eastAsia="仿宋_GB2312"/>
          <w:sz w:val="32"/>
          <w:szCs w:val="32"/>
        </w:rPr>
        <w:t xml:space="preserve">   </w:t>
      </w:r>
      <w:r>
        <w:rPr>
          <w:rFonts w:hint="eastAsia" w:ascii="仿宋_GB2312" w:hAnsi="ˎ̥" w:eastAsia="仿宋_GB2312"/>
          <w:b/>
          <w:sz w:val="32"/>
          <w:szCs w:val="32"/>
          <w:lang w:val="en-US" w:eastAsia="zh-CN"/>
        </w:rPr>
        <w:t>2.社会保障和就业支出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行政事业单位养老支出</w:t>
      </w:r>
      <w:r>
        <w:rPr>
          <w:rFonts w:hint="eastAsia" w:ascii="仿宋_GB2312" w:hAnsi="ˎ̥" w:eastAsia="仿宋_GB2312"/>
          <w:b/>
          <w:sz w:val="32"/>
          <w:szCs w:val="32"/>
        </w:rPr>
        <w:t>（款）</w:t>
      </w:r>
      <w:r>
        <w:rPr>
          <w:rFonts w:hint="eastAsia" w:ascii="仿宋_GB2312" w:hAnsi="ˎ̥" w:eastAsia="仿宋_GB2312"/>
          <w:b/>
          <w:sz w:val="32"/>
          <w:szCs w:val="32"/>
          <w:lang w:val="en-US" w:eastAsia="zh-CN"/>
        </w:rPr>
        <w:t>机关事业单位基本养老保险缴费支出</w:t>
      </w:r>
      <w:r>
        <w:rPr>
          <w:rFonts w:hint="eastAsia" w:ascii="仿宋_GB2312" w:hAnsi="ˎ̥" w:eastAsia="仿宋_GB2312"/>
          <w:b/>
          <w:sz w:val="32"/>
          <w:szCs w:val="32"/>
        </w:rPr>
        <w:t>（项）</w:t>
      </w:r>
      <w:r>
        <w:rPr>
          <w:rFonts w:hint="eastAsia" w:ascii="仿宋_GB2312" w:hAnsi="ˎ̥" w:eastAsia="仿宋_GB2312"/>
          <w:b/>
          <w:sz w:val="32"/>
          <w:szCs w:val="32"/>
          <w:lang w:eastAsia="zh-CN"/>
        </w:rPr>
        <w:t>。</w:t>
      </w:r>
    </w:p>
    <w:p w14:paraId="0978E1B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color w:val="auto"/>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color w:val="auto"/>
          <w:sz w:val="32"/>
          <w:szCs w:val="32"/>
          <w:lang w:val="en-US" w:eastAsia="zh-CN"/>
        </w:rPr>
        <w:t>58.91</w:t>
      </w:r>
      <w:r>
        <w:rPr>
          <w:rFonts w:hint="eastAsia" w:ascii="仿宋_GB2312" w:hAnsi="ˎ̥" w:eastAsia="仿宋_GB2312"/>
          <w:sz w:val="32"/>
          <w:szCs w:val="32"/>
        </w:rPr>
        <w:t>万元，</w:t>
      </w:r>
      <w:r>
        <w:rPr>
          <w:rFonts w:hint="eastAsia" w:ascii="仿宋_GB2312" w:hAnsi="ˎ̥" w:eastAsia="仿宋_GB2312"/>
          <w:sz w:val="32"/>
          <w:szCs w:val="32"/>
          <w:lang w:val="en-US" w:eastAsia="zh-CN"/>
        </w:rPr>
        <w:t>我校2024年8月份，新增82名在编人员，相应增加8-12月份在编人员机关事业单位基本养老保险缴费58.91万元。</w:t>
      </w:r>
    </w:p>
    <w:p w14:paraId="54E4C46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lang w:val="en-US" w:eastAsia="zh-CN"/>
        </w:rPr>
        <w:t xml:space="preserve"> </w:t>
      </w:r>
      <w:r>
        <w:rPr>
          <w:rFonts w:hint="eastAsia" w:ascii="仿宋_GB2312" w:hAnsi="ˎ̥" w:eastAsia="仿宋_GB2312"/>
          <w:b/>
          <w:sz w:val="32"/>
          <w:szCs w:val="32"/>
          <w:lang w:val="en-US" w:eastAsia="zh-CN"/>
        </w:rPr>
        <w:t>3.社会保障和就业支出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行政事业单位养老支出</w:t>
      </w:r>
      <w:r>
        <w:rPr>
          <w:rFonts w:hint="eastAsia" w:ascii="仿宋_GB2312" w:hAnsi="ˎ̥" w:eastAsia="仿宋_GB2312"/>
          <w:b/>
          <w:sz w:val="32"/>
          <w:szCs w:val="32"/>
        </w:rPr>
        <w:t>（款）</w:t>
      </w:r>
      <w:r>
        <w:rPr>
          <w:rFonts w:hint="eastAsia" w:ascii="仿宋_GB2312" w:hAnsi="ˎ̥" w:eastAsia="仿宋_GB2312"/>
          <w:b/>
          <w:sz w:val="32"/>
          <w:szCs w:val="32"/>
          <w:lang w:val="en-US" w:eastAsia="zh-CN"/>
        </w:rPr>
        <w:t>机关事业单位职业年金缴费支出</w:t>
      </w:r>
      <w:r>
        <w:rPr>
          <w:rFonts w:hint="eastAsia" w:ascii="仿宋_GB2312" w:hAnsi="ˎ̥" w:eastAsia="仿宋_GB2312"/>
          <w:b/>
          <w:sz w:val="32"/>
          <w:szCs w:val="32"/>
        </w:rPr>
        <w:t>（项）。</w:t>
      </w:r>
    </w:p>
    <w:p w14:paraId="03528DA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color w:val="auto"/>
          <w:sz w:val="32"/>
          <w:szCs w:val="32"/>
          <w:lang w:val="en-US" w:eastAsia="zh-CN"/>
        </w:rPr>
        <w:t>29.45</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我校2024年8月份，新增82名在编人员，相应增加8-12月份在编人员机关事业单位职业年金缴费29.45万元。</w:t>
      </w:r>
    </w:p>
    <w:p w14:paraId="5166DF1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lang w:val="en-US" w:eastAsia="zh-CN"/>
        </w:rPr>
        <w:t xml:space="preserve"> </w:t>
      </w:r>
      <w:r>
        <w:rPr>
          <w:rFonts w:hint="eastAsia" w:ascii="仿宋_GB2312" w:hAnsi="ˎ̥" w:eastAsia="仿宋_GB2312"/>
          <w:b/>
          <w:sz w:val="32"/>
          <w:szCs w:val="32"/>
          <w:lang w:val="en-US" w:eastAsia="zh-CN"/>
        </w:rPr>
        <w:t>4.卫生健康支出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行政事业单位医疗</w:t>
      </w:r>
      <w:r>
        <w:rPr>
          <w:rFonts w:hint="eastAsia" w:ascii="仿宋_GB2312" w:hAnsi="ˎ̥" w:eastAsia="仿宋_GB2312"/>
          <w:b/>
          <w:sz w:val="32"/>
          <w:szCs w:val="32"/>
        </w:rPr>
        <w:t>（款）</w:t>
      </w:r>
      <w:r>
        <w:rPr>
          <w:rFonts w:hint="eastAsia" w:ascii="仿宋_GB2312" w:hAnsi="ˎ̥" w:eastAsia="仿宋_GB2312"/>
          <w:b/>
          <w:sz w:val="32"/>
          <w:szCs w:val="32"/>
          <w:lang w:val="en-US" w:eastAsia="zh-CN"/>
        </w:rPr>
        <w:t>事业单位医疗</w:t>
      </w:r>
      <w:r>
        <w:rPr>
          <w:rFonts w:hint="eastAsia" w:ascii="仿宋_GB2312" w:hAnsi="ˎ̥" w:eastAsia="仿宋_GB2312"/>
          <w:b/>
          <w:sz w:val="32"/>
          <w:szCs w:val="32"/>
        </w:rPr>
        <w:t>（项）。</w:t>
      </w:r>
    </w:p>
    <w:p w14:paraId="08C380C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color w:val="auto"/>
          <w:sz w:val="32"/>
          <w:szCs w:val="32"/>
          <w:lang w:val="en-US" w:eastAsia="zh-CN"/>
        </w:rPr>
        <w:t>19.68</w:t>
      </w:r>
      <w:r>
        <w:rPr>
          <w:rFonts w:hint="eastAsia" w:ascii="仿宋_GB2312" w:hAnsi="ˎ̥" w:eastAsia="仿宋_GB2312"/>
          <w:sz w:val="32"/>
          <w:szCs w:val="32"/>
        </w:rPr>
        <w:t>万元，</w:t>
      </w:r>
      <w:r>
        <w:rPr>
          <w:rFonts w:hint="eastAsia" w:ascii="仿宋_GB2312" w:hAnsi="ˎ̥" w:eastAsia="仿宋_GB2312"/>
          <w:sz w:val="32"/>
          <w:szCs w:val="32"/>
          <w:lang w:val="en-US" w:eastAsia="zh-CN"/>
        </w:rPr>
        <w:t>我校2024年8月份，新增82名在编人员，相应增加8-12月份在编人员事业单位医疗费58.91万元。</w:t>
      </w:r>
    </w:p>
    <w:p w14:paraId="199E3D80">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sz w:val="32"/>
          <w:szCs w:val="32"/>
        </w:rPr>
      </w:pPr>
      <w:r>
        <w:rPr>
          <w:rFonts w:hint="eastAsia" w:ascii="仿宋_GB2312" w:hAnsi="ˎ̥" w:eastAsia="仿宋_GB2312"/>
          <w:b/>
          <w:sz w:val="32"/>
          <w:szCs w:val="32"/>
          <w:lang w:val="en-US" w:eastAsia="zh-CN"/>
        </w:rPr>
        <w:t>5.住房保障支出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住房改革支出</w:t>
      </w:r>
      <w:r>
        <w:rPr>
          <w:rFonts w:hint="eastAsia" w:ascii="仿宋_GB2312" w:hAnsi="ˎ̥" w:eastAsia="仿宋_GB2312"/>
          <w:b/>
          <w:sz w:val="32"/>
          <w:szCs w:val="32"/>
        </w:rPr>
        <w:t>（款）</w:t>
      </w:r>
      <w:r>
        <w:rPr>
          <w:rFonts w:hint="eastAsia" w:ascii="仿宋_GB2312" w:hAnsi="ˎ̥" w:eastAsia="仿宋_GB2312"/>
          <w:b/>
          <w:sz w:val="32"/>
          <w:szCs w:val="32"/>
          <w:lang w:val="en-US" w:eastAsia="zh-CN"/>
        </w:rPr>
        <w:t>住房公积金</w:t>
      </w:r>
      <w:r>
        <w:rPr>
          <w:rFonts w:hint="eastAsia" w:ascii="仿宋_GB2312" w:hAnsi="ˎ̥" w:eastAsia="仿宋_GB2312"/>
          <w:b/>
          <w:sz w:val="32"/>
          <w:szCs w:val="32"/>
        </w:rPr>
        <w:t>（项）。</w:t>
      </w:r>
    </w:p>
    <w:p w14:paraId="45D7FB8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color w:val="auto"/>
          <w:sz w:val="32"/>
          <w:szCs w:val="32"/>
          <w:lang w:val="en-US" w:eastAsia="zh-CN"/>
        </w:rPr>
        <w:t>44.64</w:t>
      </w:r>
      <w:r>
        <w:rPr>
          <w:rFonts w:hint="eastAsia" w:ascii="仿宋_GB2312" w:hAnsi="ˎ̥" w:eastAsia="仿宋_GB2312"/>
          <w:sz w:val="32"/>
          <w:szCs w:val="32"/>
        </w:rPr>
        <w:t>万元，</w:t>
      </w:r>
      <w:r>
        <w:rPr>
          <w:rFonts w:hint="eastAsia" w:ascii="仿宋_GB2312" w:hAnsi="ˎ̥" w:eastAsia="仿宋_GB2312"/>
          <w:sz w:val="32"/>
          <w:szCs w:val="32"/>
          <w:lang w:val="en-US" w:eastAsia="zh-CN"/>
        </w:rPr>
        <w:t>我校2024年8月份，新增82名在编人员，相应增加8-12月份在编人员住房公积金58.91万元。</w:t>
      </w:r>
    </w:p>
    <w:p w14:paraId="0FE354A5">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14:paraId="550AF249">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FF0000"/>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年度财政拨款基本支出</w:t>
      </w:r>
      <w:r>
        <w:rPr>
          <w:rFonts w:hint="eastAsia" w:ascii="仿宋_GB2312" w:hAnsi="ˎ̥" w:eastAsia="仿宋_GB2312"/>
          <w:color w:val="auto"/>
          <w:sz w:val="32"/>
          <w:szCs w:val="32"/>
          <w:lang w:val="en-US"/>
        </w:rPr>
        <w:t>1,334.10</w:t>
      </w:r>
      <w:r>
        <w:rPr>
          <w:rFonts w:hint="eastAsia" w:ascii="仿宋_GB2312" w:hAnsi="ˎ̥" w:eastAsia="仿宋_GB2312"/>
          <w:sz w:val="32"/>
          <w:szCs w:val="32"/>
        </w:rPr>
        <w:t>万元，其中：人员经费</w:t>
      </w:r>
      <w:r>
        <w:rPr>
          <w:rFonts w:ascii="仿宋_GB2312" w:hAnsi="ˎ̥" w:eastAsia="仿宋_GB2312"/>
          <w:color w:val="auto"/>
          <w:sz w:val="32"/>
          <w:szCs w:val="32"/>
          <w:lang w:val="en-US"/>
        </w:rPr>
        <w:t>1,284.79</w:t>
      </w:r>
      <w:r>
        <w:rPr>
          <w:rFonts w:hint="eastAsia" w:ascii="仿宋_GB2312" w:hAnsi="ˎ̥" w:eastAsia="仿宋_GB2312"/>
          <w:sz w:val="32"/>
          <w:szCs w:val="32"/>
        </w:rPr>
        <w:t>万元，主要包括：工资福利支出中的基本工资、津贴补贴、绩效工资、机关事业单位基本养老保险缴费、职业年金缴费、职工基本医疗保险缴费、其他社会保障缴费、住房公积金、其他工资福利支出；对个人和家庭的补助中的奖励金。公用经费</w:t>
      </w:r>
      <w:r>
        <w:rPr>
          <w:rFonts w:ascii="仿宋_GB2312" w:hAnsi="ˎ̥" w:eastAsia="仿宋_GB2312"/>
          <w:color w:val="auto"/>
          <w:sz w:val="32"/>
          <w:szCs w:val="32"/>
          <w:lang w:val="en-US"/>
        </w:rPr>
        <w:t>49.31</w:t>
      </w:r>
      <w:r>
        <w:rPr>
          <w:rFonts w:hint="eastAsia" w:ascii="仿宋_GB2312" w:hAnsi="ˎ̥" w:eastAsia="仿宋_GB2312"/>
          <w:sz w:val="32"/>
          <w:szCs w:val="32"/>
        </w:rPr>
        <w:t>万元，主要包括：商品和服务支出中的办公费、邮电费、差旅费、维修（护）费、租赁费、专用材料费、其他商品和服务支出；办公设备购置等；</w:t>
      </w:r>
    </w:p>
    <w:p w14:paraId="4CC2B9A6">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14:paraId="1C0B31C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14:paraId="5336FDE4">
      <w:pPr>
        <w:keepNext w:val="0"/>
        <w:keepLines w:val="0"/>
        <w:pageBreakBefore w:val="0"/>
        <w:widowControl w:val="0"/>
        <w:kinsoku/>
        <w:wordWrap/>
        <w:overflowPunct/>
        <w:topLinePunct w:val="0"/>
        <w:autoSpaceDE/>
        <w:autoSpaceDN/>
        <w:bidi w:val="0"/>
        <w:adjustRightInd/>
        <w:snapToGrid/>
        <w:spacing w:line="578" w:lineRule="exact"/>
        <w:ind w:firstLine="960" w:firstLineChars="3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无此类支出。</w:t>
      </w:r>
    </w:p>
    <w:p w14:paraId="1DD0F06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14:paraId="1CFDB102">
      <w:pPr>
        <w:keepNext w:val="0"/>
        <w:keepLines w:val="0"/>
        <w:pageBreakBefore w:val="0"/>
        <w:widowControl w:val="0"/>
        <w:kinsoku/>
        <w:wordWrap/>
        <w:overflowPunct/>
        <w:topLinePunct w:val="0"/>
        <w:autoSpaceDE/>
        <w:autoSpaceDN/>
        <w:bidi w:val="0"/>
        <w:adjustRightInd/>
        <w:snapToGrid/>
        <w:spacing w:line="578" w:lineRule="exact"/>
        <w:ind w:firstLine="960" w:firstLineChars="300"/>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无此类支出</w:t>
      </w:r>
      <w:r>
        <w:rPr>
          <w:rFonts w:hint="eastAsia" w:ascii="仿宋_GB2312" w:hAnsi="ˎ̥" w:eastAsia="仿宋_GB2312"/>
          <w:sz w:val="32"/>
          <w:szCs w:val="32"/>
        </w:rPr>
        <w:t>。</w:t>
      </w:r>
    </w:p>
    <w:p w14:paraId="19B7B92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14:paraId="1EF778E5">
      <w:pPr>
        <w:keepNext w:val="0"/>
        <w:keepLines w:val="0"/>
        <w:pageBreakBefore w:val="0"/>
        <w:widowControl w:val="0"/>
        <w:kinsoku/>
        <w:wordWrap/>
        <w:overflowPunct/>
        <w:topLinePunct w:val="0"/>
        <w:autoSpaceDE/>
        <w:autoSpaceDN/>
        <w:bidi w:val="0"/>
        <w:adjustRightInd/>
        <w:snapToGrid/>
        <w:spacing w:line="578" w:lineRule="exact"/>
        <w:ind w:firstLine="960" w:firstLineChars="300"/>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无此类支出</w:t>
      </w:r>
      <w:r>
        <w:rPr>
          <w:rFonts w:hint="eastAsia" w:ascii="仿宋_GB2312" w:hAnsi="ˎ̥" w:eastAsia="仿宋_GB2312"/>
          <w:sz w:val="32"/>
          <w:szCs w:val="32"/>
        </w:rPr>
        <w:t>。</w:t>
      </w:r>
    </w:p>
    <w:p w14:paraId="5E52B613">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14:paraId="0C75CC0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14:paraId="6F5C4C5B">
      <w:pPr>
        <w:keepNext w:val="0"/>
        <w:keepLines w:val="0"/>
        <w:pageBreakBefore w:val="0"/>
        <w:widowControl w:val="0"/>
        <w:kinsoku/>
        <w:wordWrap/>
        <w:overflowPunct/>
        <w:topLinePunct w:val="0"/>
        <w:autoSpaceDE/>
        <w:autoSpaceDN/>
        <w:bidi w:val="0"/>
        <w:adjustRightInd/>
        <w:snapToGrid/>
        <w:spacing w:line="578" w:lineRule="exact"/>
        <w:ind w:firstLine="960" w:firstLineChars="300"/>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无此类支出</w:t>
      </w:r>
      <w:r>
        <w:rPr>
          <w:rFonts w:hint="eastAsia" w:ascii="仿宋_GB2312" w:hAnsi="ˎ̥" w:eastAsia="仿宋_GB2312"/>
          <w:sz w:val="32"/>
          <w:szCs w:val="32"/>
        </w:rPr>
        <w:t>。</w:t>
      </w:r>
    </w:p>
    <w:p w14:paraId="5DB3EB2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14:paraId="12BBB5BB">
      <w:pPr>
        <w:keepNext w:val="0"/>
        <w:keepLines w:val="0"/>
        <w:pageBreakBefore w:val="0"/>
        <w:widowControl w:val="0"/>
        <w:kinsoku/>
        <w:wordWrap/>
        <w:overflowPunct/>
        <w:topLinePunct w:val="0"/>
        <w:autoSpaceDE/>
        <w:autoSpaceDN/>
        <w:bidi w:val="0"/>
        <w:adjustRightInd/>
        <w:snapToGrid/>
        <w:spacing w:line="578" w:lineRule="exact"/>
        <w:ind w:firstLine="960" w:firstLineChars="300"/>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无此类支出</w:t>
      </w:r>
      <w:r>
        <w:rPr>
          <w:rFonts w:hint="eastAsia" w:ascii="仿宋_GB2312" w:hAnsi="ˎ̥" w:eastAsia="仿宋_GB2312"/>
          <w:sz w:val="32"/>
          <w:szCs w:val="32"/>
        </w:rPr>
        <w:t>。</w:t>
      </w:r>
    </w:p>
    <w:p w14:paraId="3734CF0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14:paraId="7FF473BF">
      <w:pPr>
        <w:keepNext w:val="0"/>
        <w:keepLines w:val="0"/>
        <w:pageBreakBefore w:val="0"/>
        <w:widowControl w:val="0"/>
        <w:kinsoku/>
        <w:wordWrap/>
        <w:overflowPunct/>
        <w:topLinePunct w:val="0"/>
        <w:autoSpaceDE/>
        <w:autoSpaceDN/>
        <w:bidi w:val="0"/>
        <w:adjustRightInd/>
        <w:snapToGrid/>
        <w:spacing w:line="578" w:lineRule="exact"/>
        <w:ind w:firstLine="960" w:firstLineChars="300"/>
        <w:textAlignment w:val="auto"/>
        <w:rPr>
          <w:rFonts w:hint="eastAsia" w:ascii="仿宋_GB2312" w:hAnsi="ˎ̥" w:eastAsia="仿宋_GB2312"/>
          <w:b/>
          <w:sz w:val="32"/>
          <w:szCs w:val="32"/>
        </w:rPr>
      </w:pPr>
      <w:r>
        <w:rPr>
          <w:rFonts w:hint="eastAsia" w:ascii="仿宋_GB2312" w:hAnsi="ˎ̥" w:eastAsia="仿宋_GB2312"/>
          <w:sz w:val="32"/>
          <w:szCs w:val="32"/>
          <w:lang w:val="en-US" w:eastAsia="zh-CN"/>
        </w:rPr>
        <w:t>无此类支出</w:t>
      </w:r>
      <w:r>
        <w:rPr>
          <w:rFonts w:hint="eastAsia" w:ascii="仿宋_GB2312" w:hAnsi="ˎ̥" w:eastAsia="仿宋_GB2312"/>
          <w:sz w:val="32"/>
          <w:szCs w:val="32"/>
        </w:rPr>
        <w:t>。</w:t>
      </w:r>
    </w:p>
    <w:p w14:paraId="561ED4D0">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14:paraId="58D8D70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14:paraId="0AC61A5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w:t>
      </w:r>
      <w:r>
        <w:rPr>
          <w:rFonts w:hint="eastAsia" w:ascii="仿宋_GB2312" w:hAnsi="ˎ̥" w:eastAsia="仿宋_GB2312"/>
          <w:sz w:val="32"/>
          <w:szCs w:val="32"/>
          <w:lang w:val="en-US" w:eastAsia="zh-CN"/>
        </w:rPr>
        <w:t xml:space="preserve"> 无此类支出</w:t>
      </w:r>
      <w:r>
        <w:rPr>
          <w:rFonts w:hint="eastAsia" w:ascii="仿宋_GB2312" w:hAnsi="ˎ̥" w:eastAsia="仿宋_GB2312"/>
          <w:sz w:val="32"/>
          <w:szCs w:val="32"/>
        </w:rPr>
        <w:t>。</w:t>
      </w:r>
    </w:p>
    <w:p w14:paraId="48DF56E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14:paraId="70D69A2F">
      <w:pPr>
        <w:keepNext w:val="0"/>
        <w:keepLines w:val="0"/>
        <w:pageBreakBefore w:val="0"/>
        <w:widowControl w:val="0"/>
        <w:kinsoku/>
        <w:wordWrap/>
        <w:overflowPunct/>
        <w:topLinePunct w:val="0"/>
        <w:autoSpaceDE/>
        <w:autoSpaceDN/>
        <w:bidi w:val="0"/>
        <w:adjustRightInd/>
        <w:snapToGrid/>
        <w:spacing w:line="578" w:lineRule="exact"/>
        <w:ind w:firstLine="960" w:firstLineChars="3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无此类支出</w:t>
      </w:r>
    </w:p>
    <w:p w14:paraId="6BE1211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十、预算绩效情况说明</w:t>
      </w:r>
    </w:p>
    <w:p w14:paraId="1AAFFF9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14:paraId="5E3F3EE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根据预算管理要求，我部门（单位）组织对</w:t>
      </w:r>
      <w:r>
        <w:rPr>
          <w:rFonts w:hint="default" w:ascii="仿宋_GB2312" w:eastAsia="仿宋_GB2312"/>
          <w:sz w:val="32"/>
          <w:szCs w:val="32"/>
          <w:lang w:val="en-US"/>
        </w:rPr>
        <w:t>2024</w:t>
      </w:r>
      <w:r>
        <w:rPr>
          <w:rFonts w:hint="eastAsia" w:ascii="仿宋_GB2312" w:eastAsia="仿宋_GB2312"/>
          <w:sz w:val="32"/>
          <w:szCs w:val="32"/>
        </w:rPr>
        <w:t>年度一般公共预算项目支出全面开展绩效自评</w:t>
      </w:r>
      <w:r>
        <w:rPr>
          <w:rFonts w:hint="default" w:ascii="仿宋_GB2312" w:eastAsia="仿宋_GB2312"/>
          <w:sz w:val="32"/>
          <w:szCs w:val="32"/>
          <w:lang w:val="en-US"/>
        </w:rPr>
        <w:t>,</w:t>
      </w:r>
      <w:r>
        <w:rPr>
          <w:rFonts w:hint="eastAsia" w:ascii="仿宋_GB2312" w:eastAsia="仿宋_GB2312"/>
          <w:sz w:val="32"/>
          <w:szCs w:val="32"/>
          <w:lang w:val="en-US" w:eastAsia="zh-CN"/>
        </w:rPr>
        <w:t>共涉及资金</w:t>
      </w:r>
      <w:r>
        <w:rPr>
          <w:rFonts w:hint="eastAsia" w:ascii="仿宋_GB2312" w:eastAsia="仿宋_GB2312"/>
          <w:color w:val="auto"/>
          <w:sz w:val="32"/>
          <w:szCs w:val="32"/>
          <w:lang w:val="en-US" w:eastAsia="zh-CN"/>
        </w:rPr>
        <w:t>365.01</w:t>
      </w:r>
      <w:r>
        <w:rPr>
          <w:rFonts w:hint="eastAsia" w:ascii="仿宋_GB2312" w:eastAsia="仿宋_GB2312"/>
          <w:sz w:val="32"/>
          <w:szCs w:val="32"/>
          <w:lang w:val="en-US" w:eastAsia="zh-CN"/>
        </w:rPr>
        <w:t>万元，占一般公共预算项目支出总额的</w:t>
      </w:r>
      <w:r>
        <w:rPr>
          <w:rFonts w:hint="eastAsia" w:ascii="仿宋_GB2312" w:eastAsia="仿宋_GB2312"/>
          <w:color w:val="auto"/>
          <w:sz w:val="32"/>
          <w:szCs w:val="32"/>
          <w:lang w:val="en-US" w:eastAsia="zh-CN"/>
        </w:rPr>
        <w:t>100</w:t>
      </w:r>
      <w:r>
        <w:rPr>
          <w:rFonts w:hint="eastAsia" w:ascii="仿宋_GB2312" w:eastAsia="仿宋_GB2312"/>
          <w:sz w:val="32"/>
          <w:szCs w:val="32"/>
          <w:lang w:val="en-US" w:eastAsia="zh-CN"/>
        </w:rPr>
        <w:t>%</w:t>
      </w:r>
      <w:r>
        <w:rPr>
          <w:rFonts w:hint="eastAsia" w:ascii="仿宋_GB2312" w:eastAsia="仿宋_GB2312"/>
          <w:sz w:val="32"/>
          <w:szCs w:val="32"/>
        </w:rPr>
        <w:t>。</w:t>
      </w:r>
      <w:r>
        <w:rPr>
          <w:rFonts w:hint="eastAsia" w:ascii="仿宋_GB2312" w:eastAsia="仿宋_GB2312"/>
          <w:sz w:val="32"/>
          <w:szCs w:val="32"/>
          <w:lang w:bidi="ar"/>
        </w:rPr>
        <w:t>组织对</w:t>
      </w:r>
      <w:r>
        <w:rPr>
          <w:rFonts w:hint="default" w:ascii="仿宋_GB2312" w:eastAsia="仿宋_GB2312"/>
          <w:sz w:val="32"/>
          <w:szCs w:val="32"/>
          <w:lang w:val="en-US" w:bidi="ar"/>
        </w:rPr>
        <w:t>2024</w:t>
      </w:r>
      <w:r>
        <w:rPr>
          <w:rFonts w:hint="eastAsia" w:ascii="仿宋_GB2312" w:eastAsia="仿宋_GB2312"/>
          <w:sz w:val="32"/>
          <w:szCs w:val="32"/>
          <w:lang w:bidi="ar"/>
        </w:rPr>
        <w:t>年度</w:t>
      </w:r>
      <w:r>
        <w:rPr>
          <w:rFonts w:hint="eastAsia" w:ascii="仿宋_GB2312" w:eastAsia="仿宋_GB2312"/>
          <w:color w:val="auto"/>
          <w:sz w:val="32"/>
          <w:szCs w:val="32"/>
          <w:lang w:val="en-US" w:eastAsia="zh-CN" w:bidi="ar"/>
        </w:rPr>
        <w:t>0</w:t>
      </w:r>
      <w:r>
        <w:rPr>
          <w:rFonts w:hint="eastAsia" w:ascii="仿宋_GB2312" w:eastAsia="仿宋_GB2312"/>
          <w:sz w:val="32"/>
          <w:szCs w:val="32"/>
          <w:lang w:bidi="ar"/>
        </w:rPr>
        <w:t>个政府性基金预算项目开展绩效自评，共涉及资金</w:t>
      </w:r>
      <w:r>
        <w:rPr>
          <w:rFonts w:hint="eastAsia" w:ascii="仿宋_GB2312" w:eastAsia="仿宋_GB2312"/>
          <w:color w:val="auto"/>
          <w:sz w:val="32"/>
          <w:szCs w:val="32"/>
          <w:lang w:val="en-US" w:eastAsia="zh-CN" w:bidi="ar"/>
        </w:rPr>
        <w:t>0</w:t>
      </w:r>
      <w:r>
        <w:rPr>
          <w:rFonts w:hint="eastAsia" w:ascii="仿宋_GB2312" w:eastAsia="仿宋_GB2312"/>
          <w:sz w:val="32"/>
          <w:szCs w:val="32"/>
          <w:lang w:bidi="ar"/>
        </w:rPr>
        <w:t>万元，占政府性基金预算项目支出总额的</w:t>
      </w:r>
      <w:r>
        <w:rPr>
          <w:rFonts w:hint="eastAsia" w:ascii="仿宋_GB2312" w:eastAsia="仿宋_GB2312"/>
          <w:color w:val="auto"/>
          <w:sz w:val="32"/>
          <w:szCs w:val="32"/>
          <w:lang w:val="en-US" w:eastAsia="zh-CN" w:bidi="ar"/>
        </w:rPr>
        <w:t>0</w:t>
      </w:r>
      <w:r>
        <w:rPr>
          <w:rFonts w:hint="eastAsia" w:ascii="仿宋_GB2312" w:eastAsia="仿宋_GB2312"/>
          <w:sz w:val="32"/>
          <w:szCs w:val="32"/>
          <w:lang w:bidi="ar"/>
        </w:rPr>
        <w:t>%。组织对</w:t>
      </w:r>
      <w:r>
        <w:rPr>
          <w:rFonts w:hint="default" w:ascii="仿宋_GB2312" w:eastAsia="仿宋_GB2312"/>
          <w:sz w:val="32"/>
          <w:szCs w:val="32"/>
          <w:lang w:val="en-US" w:bidi="ar"/>
        </w:rPr>
        <w:t>2024</w:t>
      </w:r>
      <w:r>
        <w:rPr>
          <w:rFonts w:hint="eastAsia" w:ascii="仿宋_GB2312" w:eastAsia="仿宋_GB2312"/>
          <w:sz w:val="32"/>
          <w:szCs w:val="32"/>
          <w:lang w:bidi="ar"/>
        </w:rPr>
        <w:t>年度</w:t>
      </w:r>
      <w:r>
        <w:rPr>
          <w:rFonts w:hint="eastAsia" w:ascii="仿宋_GB2312" w:eastAsia="仿宋_GB2312"/>
          <w:color w:val="auto"/>
          <w:sz w:val="32"/>
          <w:szCs w:val="32"/>
          <w:lang w:val="en-US" w:eastAsia="zh-CN" w:bidi="ar"/>
        </w:rPr>
        <w:t>0</w:t>
      </w:r>
      <w:r>
        <w:rPr>
          <w:rFonts w:hint="eastAsia" w:ascii="仿宋_GB2312" w:eastAsia="仿宋_GB2312"/>
          <w:sz w:val="32"/>
          <w:szCs w:val="32"/>
          <w:lang w:bidi="ar"/>
        </w:rPr>
        <w:t>个国有资本经营预算项目开展绩效自评，共涉及资金</w:t>
      </w:r>
      <w:r>
        <w:rPr>
          <w:rFonts w:hint="eastAsia" w:ascii="仿宋_GB2312" w:eastAsia="仿宋_GB2312"/>
          <w:color w:val="auto"/>
          <w:sz w:val="32"/>
          <w:szCs w:val="32"/>
          <w:lang w:val="en-US" w:eastAsia="zh-CN" w:bidi="ar"/>
        </w:rPr>
        <w:t>0</w:t>
      </w:r>
      <w:r>
        <w:rPr>
          <w:rFonts w:hint="eastAsia" w:ascii="仿宋_GB2312" w:eastAsia="仿宋_GB2312"/>
          <w:sz w:val="32"/>
          <w:szCs w:val="32"/>
          <w:lang w:bidi="ar"/>
        </w:rPr>
        <w:t>万元，占国有资本经营预算项目支出总额的</w:t>
      </w:r>
      <w:r>
        <w:rPr>
          <w:rFonts w:hint="eastAsia" w:ascii="仿宋_GB2312" w:eastAsia="仿宋_GB2312"/>
          <w:color w:val="auto"/>
          <w:sz w:val="32"/>
          <w:szCs w:val="32"/>
          <w:lang w:val="en-US" w:eastAsia="zh-CN" w:bidi="ar"/>
        </w:rPr>
        <w:t>0</w:t>
      </w:r>
      <w:r>
        <w:rPr>
          <w:rFonts w:hint="eastAsia" w:ascii="仿宋_GB2312" w:eastAsia="仿宋_GB2312"/>
          <w:sz w:val="32"/>
          <w:szCs w:val="32"/>
          <w:lang w:bidi="ar"/>
        </w:rPr>
        <w:t>%。</w:t>
      </w:r>
    </w:p>
    <w:p w14:paraId="413081A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共组织对</w:t>
      </w:r>
      <w:r>
        <w:rPr>
          <w:rFonts w:hint="eastAsia" w:ascii="仿宋_GB2312" w:eastAsia="仿宋_GB2312"/>
          <w:sz w:val="32"/>
          <w:szCs w:val="32"/>
          <w:lang w:val="en-US" w:eastAsia="zh-CN"/>
        </w:rPr>
        <w:t>0</w:t>
      </w:r>
      <w:r>
        <w:rPr>
          <w:rFonts w:hint="eastAsia" w:ascii="仿宋_GB2312" w:eastAsia="仿宋_GB2312"/>
          <w:sz w:val="32"/>
          <w:szCs w:val="32"/>
        </w:rPr>
        <w:t>个项目开展了部门评价，</w:t>
      </w:r>
      <w:r>
        <w:rPr>
          <w:rFonts w:hint="eastAsia" w:ascii="仿宋_GB2312" w:eastAsia="仿宋_GB2312"/>
          <w:sz w:val="32"/>
          <w:szCs w:val="32"/>
          <w:lang w:bidi="ar"/>
        </w:rPr>
        <w:t>涉及一般公共预算支出</w:t>
      </w:r>
      <w:r>
        <w:rPr>
          <w:rFonts w:hint="eastAsia" w:ascii="仿宋_GB2312" w:eastAsia="仿宋_GB2312"/>
          <w:color w:val="auto"/>
          <w:sz w:val="32"/>
          <w:szCs w:val="32"/>
          <w:lang w:val="en-US" w:eastAsia="zh-CN" w:bidi="ar"/>
        </w:rPr>
        <w:t>0</w:t>
      </w:r>
      <w:r>
        <w:rPr>
          <w:rFonts w:hint="eastAsia" w:ascii="仿宋_GB2312" w:eastAsia="仿宋_GB2312"/>
          <w:sz w:val="32"/>
          <w:szCs w:val="32"/>
          <w:lang w:bidi="ar"/>
        </w:rPr>
        <w:t>万元，政府性基金预算支出</w:t>
      </w:r>
      <w:r>
        <w:rPr>
          <w:rFonts w:hint="eastAsia" w:ascii="仿宋_GB2312" w:eastAsia="仿宋_GB2312"/>
          <w:color w:val="auto"/>
          <w:sz w:val="32"/>
          <w:szCs w:val="32"/>
          <w:lang w:val="en-US" w:eastAsia="zh-CN" w:bidi="ar"/>
        </w:rPr>
        <w:t>0</w:t>
      </w:r>
      <w:r>
        <w:rPr>
          <w:rFonts w:hint="eastAsia" w:ascii="仿宋_GB2312" w:eastAsia="仿宋_GB2312"/>
          <w:sz w:val="32"/>
          <w:szCs w:val="32"/>
          <w:lang w:bidi="ar"/>
        </w:rPr>
        <w:t>万元，国有资本经营预算支出</w:t>
      </w:r>
      <w:r>
        <w:rPr>
          <w:rFonts w:hint="eastAsia" w:ascii="仿宋_GB2312" w:eastAsia="仿宋_GB2312"/>
          <w:color w:val="auto"/>
          <w:sz w:val="32"/>
          <w:szCs w:val="32"/>
          <w:lang w:val="en-US" w:eastAsia="zh-CN" w:bidi="ar"/>
        </w:rPr>
        <w:t>0</w:t>
      </w:r>
      <w:r>
        <w:rPr>
          <w:rFonts w:hint="eastAsia" w:ascii="仿宋_GB2312" w:eastAsia="仿宋_GB2312"/>
          <w:sz w:val="32"/>
          <w:szCs w:val="32"/>
          <w:lang w:bidi="ar"/>
        </w:rPr>
        <w:t>万元。</w:t>
      </w:r>
      <w:r>
        <w:rPr>
          <w:rFonts w:hint="eastAsia" w:ascii="仿宋_GB2312" w:eastAsia="仿宋_GB2312"/>
          <w:color w:val="000000"/>
          <w:sz w:val="32"/>
          <w:szCs w:val="32"/>
          <w:lang w:bidi="ar"/>
        </w:rPr>
        <w:t>海南师范大学附属</w:t>
      </w:r>
      <w:r>
        <w:rPr>
          <w:rFonts w:hint="eastAsia" w:ascii="仿宋_GB2312" w:eastAsia="仿宋_GB2312"/>
          <w:color w:val="000000"/>
          <w:sz w:val="32"/>
          <w:szCs w:val="32"/>
          <w:lang w:val="en-US" w:eastAsia="zh-CN" w:bidi="ar"/>
        </w:rPr>
        <w:t>小学</w:t>
      </w:r>
      <w:r>
        <w:rPr>
          <w:rFonts w:hint="eastAsia" w:ascii="仿宋_GB2312" w:hAnsi="仿宋_GB2312" w:eastAsia="仿宋_GB2312" w:cs="仿宋_GB2312"/>
          <w:color w:val="000000"/>
          <w:kern w:val="0"/>
          <w:sz w:val="32"/>
          <w:szCs w:val="32"/>
          <w:lang w:bidi="ar"/>
        </w:rPr>
        <w:t>隶属三级预算单位，本单位2024年无部门评价结果。</w:t>
      </w:r>
      <w:r>
        <w:rPr>
          <w:rFonts w:hint="eastAsia" w:ascii="仿宋_GB2312" w:eastAsia="仿宋_GB2312"/>
          <w:color w:val="FF0000"/>
          <w:sz w:val="32"/>
          <w:szCs w:val="32"/>
        </w:rPr>
        <w:t>。</w:t>
      </w:r>
    </w:p>
    <w:p w14:paraId="42DD04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（二）部门决算中项目绩效自评结果（预算部门、单位可根据实际情况反映重点项目绩效自评结果）</w:t>
      </w:r>
    </w:p>
    <w:p w14:paraId="105779F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我部门（单位）在部门决算中反映</w:t>
      </w:r>
      <w:r>
        <w:rPr>
          <w:rFonts w:hint="eastAsia" w:ascii="仿宋_GB2312" w:eastAsia="仿宋_GB2312"/>
          <w:color w:val="auto"/>
          <w:sz w:val="32"/>
          <w:szCs w:val="32"/>
          <w:lang w:val="en-US" w:eastAsia="zh-CN"/>
        </w:rPr>
        <w:t>城乡义务教育补助项目</w:t>
      </w:r>
      <w:r>
        <w:rPr>
          <w:rFonts w:hint="eastAsia" w:ascii="仿宋_GB2312" w:eastAsia="仿宋_GB2312"/>
          <w:sz w:val="32"/>
          <w:szCs w:val="32"/>
        </w:rPr>
        <w:t>等</w:t>
      </w:r>
      <w:r>
        <w:rPr>
          <w:rFonts w:hint="eastAsia" w:ascii="仿宋_GB2312" w:eastAsia="仿宋_GB2312"/>
          <w:sz w:val="32"/>
          <w:szCs w:val="32"/>
          <w:lang w:val="en-US" w:eastAsia="zh-CN"/>
        </w:rPr>
        <w:t>6</w:t>
      </w:r>
      <w:r>
        <w:rPr>
          <w:rFonts w:hint="eastAsia" w:ascii="仿宋_GB2312" w:eastAsia="仿宋_GB2312"/>
          <w:sz w:val="32"/>
          <w:szCs w:val="32"/>
        </w:rPr>
        <w:t>个项目绩效自评结果</w:t>
      </w:r>
      <w:r>
        <w:rPr>
          <w:rFonts w:hint="eastAsia" w:ascii="仿宋_GB2312" w:eastAsia="仿宋_GB2312"/>
          <w:sz w:val="32"/>
          <w:szCs w:val="32"/>
          <w:lang w:eastAsia="zh-CN"/>
        </w:rPr>
        <w:t>：</w:t>
      </w:r>
    </w:p>
    <w:p w14:paraId="225846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color w:val="auto"/>
          <w:sz w:val="32"/>
          <w:szCs w:val="32"/>
          <w:lang w:val="en-US" w:eastAsia="zh-CN"/>
        </w:rPr>
        <w:t>城乡义务教育补助</w:t>
      </w:r>
      <w:r>
        <w:rPr>
          <w:rFonts w:hint="eastAsia" w:ascii="仿宋_GB2312" w:eastAsia="仿宋_GB2312"/>
          <w:sz w:val="32"/>
          <w:szCs w:val="32"/>
        </w:rPr>
        <w:t>项目绩效自评表：</w:t>
      </w:r>
    </w:p>
    <w:p w14:paraId="1EECC0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5583555" cy="3505200"/>
            <wp:effectExtent l="0" t="0" r="17145" b="0"/>
            <wp:docPr id="1" name="图片 1" descr="城乡义务教育补助项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城乡义务教育补助项目"/>
                    <pic:cNvPicPr>
                      <a:picLocks noChangeAspect="1"/>
                    </pic:cNvPicPr>
                  </pic:nvPicPr>
                  <pic:blipFill>
                    <a:blip r:embed="rId6"/>
                    <a:stretch>
                      <a:fillRect/>
                    </a:stretch>
                  </pic:blipFill>
                  <pic:spPr>
                    <a:xfrm>
                      <a:off x="0" y="0"/>
                      <a:ext cx="5583555" cy="3505200"/>
                    </a:xfrm>
                    <a:prstGeom prst="rect">
                      <a:avLst/>
                    </a:prstGeom>
                  </pic:spPr>
                </pic:pic>
              </a:graphicData>
            </a:graphic>
          </wp:inline>
        </w:drawing>
      </w:r>
    </w:p>
    <w:p w14:paraId="6A3CF28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color w:val="auto"/>
          <w:sz w:val="32"/>
          <w:szCs w:val="32"/>
          <w:lang w:val="en-US" w:eastAsia="zh-CN"/>
        </w:rPr>
        <w:t>城乡义务教育补助项目</w:t>
      </w:r>
      <w:r>
        <w:rPr>
          <w:rFonts w:hint="eastAsia" w:ascii="仿宋_GB2312" w:eastAsia="仿宋_GB2312"/>
          <w:sz w:val="32"/>
          <w:szCs w:val="32"/>
        </w:rPr>
        <w:t>项目绩效自评报告：根据年初设定的绩效目标，项目绩效自评得分为</w:t>
      </w:r>
      <w:r>
        <w:rPr>
          <w:rFonts w:hint="eastAsia" w:ascii="仿宋_GB2312" w:eastAsia="仿宋_GB2312"/>
          <w:color w:val="auto"/>
          <w:sz w:val="32"/>
          <w:szCs w:val="32"/>
          <w:lang w:val="en-US" w:eastAsia="zh-CN"/>
        </w:rPr>
        <w:t>9.97</w:t>
      </w:r>
      <w:r>
        <w:rPr>
          <w:rFonts w:hint="eastAsia" w:ascii="仿宋_GB2312" w:eastAsia="仿宋_GB2312"/>
          <w:sz w:val="32"/>
          <w:szCs w:val="32"/>
        </w:rPr>
        <w:t>分。全年预算数为</w:t>
      </w:r>
      <w:r>
        <w:rPr>
          <w:rFonts w:hint="eastAsia" w:ascii="仿宋_GB2312" w:eastAsia="仿宋_GB2312"/>
          <w:color w:val="auto"/>
          <w:sz w:val="32"/>
          <w:szCs w:val="32"/>
          <w:lang w:val="en-US" w:eastAsia="zh-CN"/>
        </w:rPr>
        <w:t>228.56</w:t>
      </w:r>
      <w:r>
        <w:rPr>
          <w:rFonts w:hint="eastAsia" w:ascii="仿宋_GB2312" w:eastAsia="仿宋_GB2312"/>
          <w:sz w:val="32"/>
          <w:szCs w:val="32"/>
        </w:rPr>
        <w:t>万元，执行数为</w:t>
      </w:r>
      <w:r>
        <w:rPr>
          <w:rFonts w:hint="eastAsia" w:ascii="仿宋_GB2312" w:eastAsia="仿宋_GB2312"/>
          <w:sz w:val="32"/>
          <w:szCs w:val="32"/>
          <w:lang w:val="en-US" w:eastAsia="zh-CN"/>
        </w:rPr>
        <w:t>227.77</w:t>
      </w:r>
      <w:r>
        <w:rPr>
          <w:rFonts w:hint="eastAsia" w:ascii="仿宋_GB2312" w:eastAsia="仿宋_GB2312"/>
          <w:sz w:val="32"/>
          <w:szCs w:val="32"/>
        </w:rPr>
        <w:t>万元，完成预算的</w:t>
      </w:r>
      <w:r>
        <w:rPr>
          <w:rFonts w:hint="eastAsia" w:ascii="仿宋_GB2312" w:eastAsia="仿宋_GB2312"/>
          <w:color w:val="auto"/>
          <w:sz w:val="32"/>
          <w:szCs w:val="32"/>
          <w:lang w:val="en-US" w:eastAsia="zh-CN"/>
        </w:rPr>
        <w:t>99.66</w:t>
      </w:r>
      <w:r>
        <w:rPr>
          <w:rFonts w:hint="eastAsia" w:ascii="仿宋_GB2312" w:eastAsia="仿宋_GB2312"/>
          <w:sz w:val="32"/>
          <w:szCs w:val="32"/>
        </w:rPr>
        <w:t>%。项目绩效目标完成情况：一是</w:t>
      </w:r>
      <w:r>
        <w:rPr>
          <w:rFonts w:hint="eastAsia" w:ascii="仿宋_GB2312" w:eastAsia="仿宋_GB2312"/>
          <w:sz w:val="32"/>
          <w:szCs w:val="32"/>
          <w:lang w:val="en-US" w:eastAsia="zh-CN"/>
        </w:rPr>
        <w:t>适龄儿童小学入学率</w:t>
      </w:r>
      <w:r>
        <w:rPr>
          <w:rFonts w:hint="eastAsia" w:ascii="仿宋_GB2312" w:eastAsia="仿宋_GB2312"/>
          <w:sz w:val="32"/>
          <w:szCs w:val="32"/>
        </w:rPr>
        <w:t>；二是</w:t>
      </w:r>
      <w:r>
        <w:rPr>
          <w:rFonts w:hint="eastAsia" w:ascii="仿宋_GB2312" w:eastAsia="仿宋_GB2312"/>
          <w:sz w:val="32"/>
          <w:szCs w:val="32"/>
          <w:lang w:val="en-US" w:eastAsia="zh-CN"/>
        </w:rPr>
        <w:t>设备购置成本</w:t>
      </w:r>
      <w:r>
        <w:rPr>
          <w:rFonts w:hint="eastAsia" w:ascii="仿宋_GB2312" w:eastAsia="仿宋_GB2312"/>
          <w:sz w:val="32"/>
          <w:szCs w:val="32"/>
        </w:rPr>
        <w:t>。发现的主要问题及原因：一是</w:t>
      </w:r>
      <w:r>
        <w:rPr>
          <w:rFonts w:hint="eastAsia" w:ascii="仿宋_GB2312" w:eastAsia="仿宋_GB2312"/>
          <w:sz w:val="32"/>
          <w:szCs w:val="32"/>
          <w:lang w:val="en-US" w:eastAsia="zh-CN"/>
        </w:rPr>
        <w:t>设备购置</w:t>
      </w:r>
      <w:r>
        <w:rPr>
          <w:rFonts w:hint="eastAsia" w:ascii="仿宋_GB2312" w:eastAsia="仿宋_GB2312"/>
          <w:sz w:val="32"/>
          <w:szCs w:val="32"/>
        </w:rPr>
        <w:t>；二是</w:t>
      </w:r>
      <w:r>
        <w:rPr>
          <w:rFonts w:hint="eastAsia" w:ascii="仿宋_GB2312" w:eastAsia="仿宋_GB2312"/>
          <w:sz w:val="32"/>
          <w:szCs w:val="32"/>
          <w:lang w:val="en-US" w:eastAsia="zh-CN"/>
        </w:rPr>
        <w:t>对项目政策了解不够深入</w:t>
      </w:r>
      <w:r>
        <w:rPr>
          <w:rFonts w:hint="eastAsia" w:ascii="仿宋_GB2312" w:eastAsia="仿宋_GB2312"/>
          <w:sz w:val="32"/>
          <w:szCs w:val="32"/>
        </w:rPr>
        <w:t>。下一步改进措施：</w:t>
      </w:r>
      <w:r>
        <w:rPr>
          <w:rFonts w:hint="eastAsia" w:ascii="仿宋_GB2312" w:eastAsia="仿宋_GB2312"/>
          <w:sz w:val="32"/>
          <w:szCs w:val="32"/>
          <w:lang w:val="en-US" w:eastAsia="zh-CN"/>
        </w:rPr>
        <w:t>一是加强预算管理，提高预算编制的科学性和前瞻性，提高教育资源配置效率；二是加强项目政策宣传，通过多种渠道，如学校家长会、官方网站、社交媒体等，广泛宣传城乡义务教育补助项目政策，提高政策知晓度；定期收集家长、学生以及社会的意见和建议，及时回应关切，不断改进项目实施效果，提升满意度。</w:t>
      </w:r>
    </w:p>
    <w:p w14:paraId="2624DC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color w:val="auto"/>
          <w:sz w:val="32"/>
          <w:szCs w:val="32"/>
          <w:lang w:val="en-US" w:eastAsia="zh-CN"/>
        </w:rPr>
        <w:t>设备（设施）运行维护与改造</w:t>
      </w:r>
      <w:r>
        <w:rPr>
          <w:rFonts w:hint="eastAsia" w:ascii="仿宋_GB2312" w:eastAsia="仿宋_GB2312"/>
          <w:sz w:val="32"/>
          <w:szCs w:val="32"/>
        </w:rPr>
        <w:t>项目绩效自评表：</w:t>
      </w:r>
    </w:p>
    <w:p w14:paraId="1DC117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5610225" cy="3495675"/>
            <wp:effectExtent l="0" t="0" r="9525" b="9525"/>
            <wp:docPr id="3" name="图片 3" descr="设备设施运行维护与改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设备设施运行维护与改造"/>
                    <pic:cNvPicPr>
                      <a:picLocks noChangeAspect="1"/>
                    </pic:cNvPicPr>
                  </pic:nvPicPr>
                  <pic:blipFill>
                    <a:blip r:embed="rId7"/>
                    <a:stretch>
                      <a:fillRect/>
                    </a:stretch>
                  </pic:blipFill>
                  <pic:spPr>
                    <a:xfrm>
                      <a:off x="0" y="0"/>
                      <a:ext cx="5610225" cy="3495675"/>
                    </a:xfrm>
                    <a:prstGeom prst="rect">
                      <a:avLst/>
                    </a:prstGeom>
                  </pic:spPr>
                </pic:pic>
              </a:graphicData>
            </a:graphic>
          </wp:inline>
        </w:drawing>
      </w:r>
    </w:p>
    <w:p w14:paraId="5AA3765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color w:val="auto"/>
          <w:sz w:val="32"/>
          <w:szCs w:val="32"/>
          <w:lang w:val="en-US" w:eastAsia="zh-CN"/>
        </w:rPr>
        <w:t>设备（设施）运行维护与改造</w:t>
      </w:r>
      <w:r>
        <w:rPr>
          <w:rFonts w:hint="eastAsia" w:ascii="仿宋_GB2312" w:eastAsia="仿宋_GB2312"/>
          <w:sz w:val="32"/>
          <w:szCs w:val="32"/>
        </w:rPr>
        <w:t>项目绩效自评报告：根据年初设定的绩效目标，项目绩效自评得分为</w:t>
      </w:r>
      <w:r>
        <w:rPr>
          <w:rFonts w:hint="eastAsia" w:ascii="仿宋_GB2312" w:eastAsia="仿宋_GB2312"/>
          <w:color w:val="auto"/>
          <w:sz w:val="32"/>
          <w:szCs w:val="32"/>
          <w:lang w:val="en-US" w:eastAsia="zh-CN"/>
        </w:rPr>
        <w:t>10</w:t>
      </w:r>
      <w:r>
        <w:rPr>
          <w:rFonts w:hint="eastAsia" w:ascii="仿宋_GB2312" w:eastAsia="仿宋_GB2312"/>
          <w:sz w:val="32"/>
          <w:szCs w:val="32"/>
        </w:rPr>
        <w:t>分。全年预算数为</w:t>
      </w:r>
      <w:r>
        <w:rPr>
          <w:rFonts w:hint="eastAsia" w:ascii="仿宋_GB2312" w:eastAsia="仿宋_GB2312"/>
          <w:color w:val="auto"/>
          <w:sz w:val="32"/>
          <w:szCs w:val="32"/>
          <w:lang w:val="en-US" w:eastAsia="zh-CN"/>
        </w:rPr>
        <w:t>19.95</w:t>
      </w:r>
      <w:r>
        <w:rPr>
          <w:rFonts w:hint="eastAsia" w:ascii="仿宋_GB2312" w:eastAsia="仿宋_GB2312"/>
          <w:sz w:val="32"/>
          <w:szCs w:val="32"/>
        </w:rPr>
        <w:t>万元，执行数为</w:t>
      </w:r>
      <w:r>
        <w:rPr>
          <w:rFonts w:hint="eastAsia" w:ascii="仿宋_GB2312" w:eastAsia="仿宋_GB2312"/>
          <w:sz w:val="32"/>
          <w:szCs w:val="32"/>
          <w:lang w:val="en-US" w:eastAsia="zh-CN"/>
        </w:rPr>
        <w:t>19.95</w:t>
      </w:r>
      <w:r>
        <w:rPr>
          <w:rFonts w:hint="eastAsia" w:ascii="仿宋_GB2312" w:eastAsia="仿宋_GB2312"/>
          <w:sz w:val="32"/>
          <w:szCs w:val="32"/>
        </w:rPr>
        <w:t>万元，完成预算的</w:t>
      </w:r>
      <w:r>
        <w:rPr>
          <w:rFonts w:hint="eastAsia" w:ascii="仿宋_GB2312" w:eastAsia="仿宋_GB2312"/>
          <w:color w:val="auto"/>
          <w:sz w:val="32"/>
          <w:szCs w:val="32"/>
          <w:lang w:val="en-US" w:eastAsia="zh-CN"/>
        </w:rPr>
        <w:t>100</w:t>
      </w:r>
      <w:r>
        <w:rPr>
          <w:rFonts w:hint="eastAsia" w:ascii="仿宋_GB2312" w:eastAsia="仿宋_GB2312"/>
          <w:sz w:val="32"/>
          <w:szCs w:val="32"/>
        </w:rPr>
        <w:t>%。项目绩效目标完成情况：一是</w:t>
      </w:r>
      <w:r>
        <w:rPr>
          <w:rFonts w:hint="eastAsia" w:ascii="仿宋_GB2312" w:eastAsia="仿宋_GB2312"/>
          <w:sz w:val="32"/>
          <w:szCs w:val="32"/>
          <w:lang w:val="en-US" w:eastAsia="zh-CN"/>
        </w:rPr>
        <w:t>维修改造项目</w:t>
      </w:r>
      <w:r>
        <w:rPr>
          <w:rFonts w:hint="eastAsia" w:ascii="仿宋_GB2312" w:eastAsia="仿宋_GB2312"/>
          <w:sz w:val="32"/>
          <w:szCs w:val="32"/>
        </w:rPr>
        <w:t>；二是</w:t>
      </w:r>
      <w:r>
        <w:rPr>
          <w:rFonts w:hint="eastAsia" w:ascii="仿宋_GB2312" w:eastAsia="仿宋_GB2312"/>
          <w:sz w:val="32"/>
          <w:szCs w:val="32"/>
          <w:lang w:val="en-US" w:eastAsia="zh-CN"/>
        </w:rPr>
        <w:t>受益学生数</w:t>
      </w:r>
      <w:r>
        <w:rPr>
          <w:rFonts w:hint="eastAsia" w:ascii="仿宋_GB2312" w:eastAsia="仿宋_GB2312"/>
          <w:sz w:val="32"/>
          <w:szCs w:val="32"/>
        </w:rPr>
        <w:t>。发现的主要问题及原因：一是</w:t>
      </w:r>
      <w:r>
        <w:rPr>
          <w:rFonts w:hint="eastAsia" w:ascii="仿宋_GB2312" w:eastAsia="仿宋_GB2312"/>
          <w:sz w:val="32"/>
          <w:szCs w:val="32"/>
          <w:lang w:val="en-US" w:eastAsia="zh-CN"/>
        </w:rPr>
        <w:t>前期需求调研不充分、方案设计有少部分不合理；二是影响项目实施有极少效果。下一步改进措施：一是强化前期需求调研，充分征求使用方、服务对象意见，提高方案设计科学性；优化审批流程，缩短审批周期，合理安排施工时间；加强施工过程监管，引入第三方监理机构，严格执行质量验收标准；二是保障维护工作常态化开展；加强维护队伍建设，提高维护专业水平，确保项目成果持续发挥效益。</w:t>
      </w:r>
    </w:p>
    <w:p w14:paraId="099C6C8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color w:val="auto"/>
          <w:sz w:val="32"/>
          <w:szCs w:val="32"/>
          <w:lang w:val="en-US" w:eastAsia="zh-CN"/>
        </w:rPr>
        <w:t>综合运行事务</w:t>
      </w:r>
      <w:r>
        <w:rPr>
          <w:rFonts w:hint="eastAsia" w:ascii="仿宋_GB2312" w:eastAsia="仿宋_GB2312"/>
          <w:sz w:val="32"/>
          <w:szCs w:val="32"/>
        </w:rPr>
        <w:t>项目绩效自评表：</w:t>
      </w:r>
    </w:p>
    <w:p w14:paraId="656CFD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5610225" cy="3505200"/>
            <wp:effectExtent l="0" t="0" r="9525" b="0"/>
            <wp:docPr id="5" name="图片 5" descr="综合运行事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综合运行事务"/>
                    <pic:cNvPicPr>
                      <a:picLocks noChangeAspect="1"/>
                    </pic:cNvPicPr>
                  </pic:nvPicPr>
                  <pic:blipFill>
                    <a:blip r:embed="rId8"/>
                    <a:stretch>
                      <a:fillRect/>
                    </a:stretch>
                  </pic:blipFill>
                  <pic:spPr>
                    <a:xfrm>
                      <a:off x="0" y="0"/>
                      <a:ext cx="5610225" cy="3505200"/>
                    </a:xfrm>
                    <a:prstGeom prst="rect">
                      <a:avLst/>
                    </a:prstGeom>
                  </pic:spPr>
                </pic:pic>
              </a:graphicData>
            </a:graphic>
          </wp:inline>
        </w:drawing>
      </w:r>
    </w:p>
    <w:p w14:paraId="2207E565">
      <w:pPr>
        <w:keepNext w:val="0"/>
        <w:keepLines w:val="0"/>
        <w:widowControl/>
        <w:suppressLineNumbers w:val="0"/>
        <w:jc w:val="left"/>
        <w:rPr>
          <w:rFonts w:hint="eastAsia" w:ascii="仿宋_GB2312" w:eastAsia="仿宋_GB2312"/>
          <w:sz w:val="32"/>
          <w:szCs w:val="32"/>
          <w:lang w:val="en-US" w:eastAsia="zh-CN"/>
        </w:rPr>
      </w:pPr>
      <w:r>
        <w:rPr>
          <w:rFonts w:hint="eastAsia" w:ascii="仿宋_GB2312" w:eastAsia="仿宋_GB2312"/>
          <w:color w:val="auto"/>
          <w:sz w:val="32"/>
          <w:szCs w:val="32"/>
          <w:lang w:val="en-US" w:eastAsia="zh-CN"/>
        </w:rPr>
        <w:t>综合运行事务</w:t>
      </w:r>
      <w:r>
        <w:rPr>
          <w:rFonts w:hint="eastAsia" w:ascii="仿宋_GB2312" w:eastAsia="仿宋_GB2312"/>
          <w:sz w:val="32"/>
          <w:szCs w:val="32"/>
        </w:rPr>
        <w:t>项目绩效自评报告：根据年初设定的绩效目标，项目绩效自评得分为</w:t>
      </w:r>
      <w:r>
        <w:rPr>
          <w:rFonts w:hint="eastAsia" w:ascii="仿宋_GB2312" w:eastAsia="仿宋_GB2312"/>
          <w:color w:val="auto"/>
          <w:sz w:val="32"/>
          <w:szCs w:val="32"/>
          <w:lang w:val="en-US" w:eastAsia="zh-CN"/>
        </w:rPr>
        <w:t>10</w:t>
      </w:r>
      <w:r>
        <w:rPr>
          <w:rFonts w:hint="eastAsia" w:ascii="仿宋_GB2312" w:eastAsia="仿宋_GB2312"/>
          <w:sz w:val="32"/>
          <w:szCs w:val="32"/>
        </w:rPr>
        <w:t>分。全年预算数为</w:t>
      </w:r>
      <w:r>
        <w:rPr>
          <w:rFonts w:hint="eastAsia" w:ascii="仿宋_GB2312" w:eastAsia="仿宋_GB2312"/>
          <w:color w:val="auto"/>
          <w:sz w:val="32"/>
          <w:szCs w:val="32"/>
          <w:lang w:val="en-US" w:eastAsia="zh-CN"/>
        </w:rPr>
        <w:t>19.9</w:t>
      </w:r>
      <w:r>
        <w:rPr>
          <w:rFonts w:hint="eastAsia" w:ascii="仿宋_GB2312" w:eastAsia="仿宋_GB2312"/>
          <w:sz w:val="32"/>
          <w:szCs w:val="32"/>
        </w:rPr>
        <w:t>万元，执行数为</w:t>
      </w:r>
      <w:r>
        <w:rPr>
          <w:rFonts w:hint="eastAsia" w:ascii="仿宋_GB2312" w:eastAsia="仿宋_GB2312"/>
          <w:sz w:val="32"/>
          <w:szCs w:val="32"/>
          <w:lang w:val="en-US" w:eastAsia="zh-CN"/>
        </w:rPr>
        <w:t>19.9</w:t>
      </w:r>
      <w:r>
        <w:rPr>
          <w:rFonts w:hint="eastAsia" w:ascii="仿宋_GB2312" w:eastAsia="仿宋_GB2312"/>
          <w:sz w:val="32"/>
          <w:szCs w:val="32"/>
        </w:rPr>
        <w:t>万元，完成预算的</w:t>
      </w:r>
      <w:r>
        <w:rPr>
          <w:rFonts w:hint="eastAsia" w:ascii="仿宋_GB2312" w:eastAsia="仿宋_GB2312"/>
          <w:color w:val="auto"/>
          <w:sz w:val="32"/>
          <w:szCs w:val="32"/>
          <w:lang w:val="en-US" w:eastAsia="zh-CN"/>
        </w:rPr>
        <w:t>100</w:t>
      </w:r>
      <w:r>
        <w:rPr>
          <w:rFonts w:hint="eastAsia" w:ascii="仿宋_GB2312" w:eastAsia="仿宋_GB2312"/>
          <w:sz w:val="32"/>
          <w:szCs w:val="32"/>
        </w:rPr>
        <w:t>%。项目绩效目标完成情况：一是</w:t>
      </w:r>
      <w:r>
        <w:rPr>
          <w:rFonts w:hint="eastAsia" w:ascii="仿宋_GB2312" w:eastAsia="仿宋_GB2312"/>
          <w:sz w:val="32"/>
          <w:szCs w:val="32"/>
          <w:lang w:val="en-US" w:eastAsia="zh-CN"/>
        </w:rPr>
        <w:t>校园安全保障效果</w:t>
      </w:r>
      <w:r>
        <w:rPr>
          <w:rFonts w:hint="eastAsia" w:ascii="仿宋_GB2312" w:eastAsia="仿宋_GB2312"/>
          <w:sz w:val="32"/>
          <w:szCs w:val="32"/>
        </w:rPr>
        <w:t>；二是</w:t>
      </w:r>
      <w:r>
        <w:rPr>
          <w:rFonts w:hint="eastAsia" w:ascii="仿宋_GB2312" w:eastAsia="仿宋_GB2312"/>
          <w:sz w:val="32"/>
          <w:szCs w:val="32"/>
          <w:lang w:val="en-US" w:eastAsia="zh-CN"/>
        </w:rPr>
        <w:t>家长满意度</w:t>
      </w:r>
      <w:r>
        <w:rPr>
          <w:rFonts w:hint="eastAsia" w:ascii="仿宋_GB2312" w:eastAsia="仿宋_GB2312"/>
          <w:sz w:val="32"/>
          <w:szCs w:val="32"/>
        </w:rPr>
        <w:t>。发现的主要问题及原因：一是</w:t>
      </w:r>
      <w:r>
        <w:rPr>
          <w:rFonts w:hint="eastAsia" w:ascii="仿宋_GB2312" w:eastAsia="仿宋_GB2312"/>
          <w:sz w:val="32"/>
          <w:szCs w:val="32"/>
          <w:lang w:val="en-US" w:eastAsia="zh-CN"/>
        </w:rPr>
        <w:t>监控与报警系统存在盲区、校园围墙角落、厕所门口；二是</w:t>
      </w:r>
      <w:r>
        <w:rPr>
          <w:rFonts w:hint="eastAsia" w:ascii="仿宋_GB2312" w:eastAsia="仿宋_GB2312"/>
          <w:sz w:val="32"/>
          <w:szCs w:val="32"/>
        </w:rPr>
        <w:t>活动设施安全防护缺失</w:t>
      </w:r>
      <w:r>
        <w:rPr>
          <w:rFonts w:hint="eastAsia" w:ascii="仿宋_GB2312" w:eastAsia="仿宋_GB2312"/>
          <w:sz w:val="32"/>
          <w:szCs w:val="32"/>
          <w:lang w:val="en-US" w:eastAsia="zh-CN"/>
        </w:rPr>
        <w:t>。下一步改进措施：一是</w:t>
      </w:r>
      <w:r>
        <w:rPr>
          <w:rFonts w:hint="eastAsia" w:ascii="仿宋_GB2312" w:eastAsia="仿宋_GB2312"/>
          <w:sz w:val="32"/>
          <w:szCs w:val="32"/>
        </w:rPr>
        <w:t>补齐关键区域设施短板：实现校园监控 “全覆盖、无死角”，重点区域（厕所、楼梯口、校门口）安装高清夜视摄像头，存储时间延长至 90 天</w:t>
      </w:r>
      <w:r>
        <w:rPr>
          <w:rFonts w:hint="eastAsia" w:ascii="仿宋_GB2312" w:eastAsia="仿宋_GB2312"/>
          <w:sz w:val="32"/>
          <w:szCs w:val="32"/>
          <w:lang w:val="en-US" w:eastAsia="zh-CN"/>
        </w:rPr>
        <w:t>；二是</w:t>
      </w:r>
      <w:r>
        <w:rPr>
          <w:rFonts w:hint="eastAsia" w:ascii="仿宋_GB2312" w:eastAsia="仿宋_GB2312"/>
          <w:sz w:val="32"/>
          <w:szCs w:val="32"/>
        </w:rPr>
        <w:t>制定《小学安全设施维护台账》，对监控、消防器材、活动设施等实行 “一物一码” 管理，明确维护责任人、检查频次（如每周检查消防器材压力、每月检查活动设施螺丝紧固情况），并记录维护结果，确保 “问题可追溯、隐患可消除”。</w:t>
      </w:r>
    </w:p>
    <w:p w14:paraId="5DADDF50">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部门评价结果（预算部门填写，部门所属单位不需填写）</w:t>
      </w:r>
    </w:p>
    <w:p w14:paraId="0F62CA06">
      <w:pPr>
        <w:keepNext w:val="0"/>
        <w:keepLines w:val="0"/>
        <w:pageBreakBefore w:val="0"/>
        <w:widowControl w:val="0"/>
        <w:numPr>
          <w:numId w:val="0"/>
        </w:numPr>
        <w:kinsoku/>
        <w:wordWrap/>
        <w:overflowPunct/>
        <w:topLinePunct w:val="0"/>
        <w:autoSpaceDE/>
        <w:autoSpaceDN/>
        <w:bidi w:val="0"/>
        <w:adjustRightInd/>
        <w:snapToGrid/>
        <w:spacing w:line="578" w:lineRule="exact"/>
        <w:textAlignment w:val="auto"/>
        <w:rPr>
          <w:rFonts w:hint="default" w:ascii="楷体" w:hAnsi="楷体" w:eastAsia="楷体" w:cs="楷体"/>
          <w:bCs/>
          <w:sz w:val="32"/>
          <w:szCs w:val="32"/>
          <w:lang w:val="en-US" w:eastAsia="zh-CN"/>
        </w:rPr>
      </w:pPr>
      <w:r>
        <w:rPr>
          <w:rFonts w:hint="eastAsia" w:ascii="楷体" w:hAnsi="楷体" w:eastAsia="楷体" w:cs="楷体"/>
          <w:bCs/>
          <w:sz w:val="32"/>
          <w:szCs w:val="32"/>
          <w:lang w:val="en-US" w:eastAsia="zh-CN"/>
        </w:rPr>
        <w:t xml:space="preserve">    </w:t>
      </w:r>
      <w:r>
        <w:rPr>
          <w:rFonts w:hint="eastAsia" w:ascii="仿宋_GB2312" w:eastAsia="仿宋_GB2312"/>
          <w:color w:val="000000"/>
          <w:sz w:val="32"/>
          <w:szCs w:val="32"/>
          <w:lang w:val="zh-CN"/>
        </w:rPr>
        <w:t>海南师范大学</w:t>
      </w:r>
      <w:r>
        <w:rPr>
          <w:rFonts w:hint="eastAsia" w:ascii="仿宋_GB2312" w:eastAsia="仿宋_GB2312"/>
          <w:color w:val="000000"/>
          <w:sz w:val="32"/>
          <w:szCs w:val="32"/>
          <w:lang w:val="en-US" w:eastAsia="zh-CN"/>
        </w:rPr>
        <w:t>小学</w:t>
      </w:r>
      <w:r>
        <w:rPr>
          <w:rFonts w:hint="eastAsia" w:ascii="仿宋_GB2312" w:eastAsia="仿宋_GB2312"/>
          <w:color w:val="000000"/>
          <w:sz w:val="32"/>
          <w:szCs w:val="32"/>
        </w:rPr>
        <w:t>隶属三级预算单位，本单位2024年无部门决算评价结果。</w:t>
      </w:r>
    </w:p>
    <w:p w14:paraId="211945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（四）财政评价结果（如有）</w:t>
      </w:r>
    </w:p>
    <w:p w14:paraId="1F2E37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color w:val="000000"/>
          <w:sz w:val="32"/>
          <w:szCs w:val="32"/>
          <w:lang w:val="zh-CN"/>
        </w:rPr>
        <w:t>海南师范大学</w:t>
      </w:r>
      <w:r>
        <w:rPr>
          <w:rFonts w:hint="eastAsia" w:ascii="仿宋_GB2312" w:eastAsia="仿宋_GB2312"/>
          <w:color w:val="000000"/>
          <w:sz w:val="32"/>
          <w:szCs w:val="32"/>
          <w:lang w:val="en-US" w:eastAsia="zh-CN"/>
        </w:rPr>
        <w:t>小学</w:t>
      </w:r>
      <w:r>
        <w:rPr>
          <w:rFonts w:hint="eastAsia" w:ascii="仿宋_GB2312" w:eastAsia="仿宋_GB2312"/>
          <w:color w:val="000000"/>
          <w:sz w:val="32"/>
          <w:szCs w:val="32"/>
          <w:lang w:val="zh-CN"/>
        </w:rPr>
        <w:t>隶属三级预算单位，202</w:t>
      </w:r>
      <w:r>
        <w:rPr>
          <w:rFonts w:hint="eastAsia" w:ascii="仿宋_GB2312" w:eastAsia="仿宋_GB2312"/>
          <w:color w:val="000000"/>
          <w:sz w:val="32"/>
          <w:szCs w:val="32"/>
        </w:rPr>
        <w:t>4</w:t>
      </w:r>
      <w:r>
        <w:rPr>
          <w:rFonts w:hint="eastAsia" w:ascii="仿宋_GB2312" w:eastAsia="仿宋_GB2312"/>
          <w:color w:val="000000"/>
          <w:sz w:val="32"/>
          <w:szCs w:val="32"/>
          <w:lang w:val="zh-CN"/>
        </w:rPr>
        <w:t>年财政部门未对本单位重点项目组织开展财政评价。</w:t>
      </w:r>
      <w:bookmarkStart w:id="119" w:name="_GoBack"/>
      <w:bookmarkEnd w:id="119"/>
    </w:p>
    <w:p w14:paraId="232CB89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14:paraId="0B1E7B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5" w:name="_Toc18325_WPSOffice_Level2"/>
      <w:bookmarkStart w:id="96" w:name="_Toc15565_WPSOffice_Level2"/>
      <w:bookmarkStart w:id="97" w:name="_Toc5978_WPSOffice_Level2"/>
      <w:bookmarkStart w:id="98" w:name="_Toc15262_WPSOffice_Level2"/>
      <w:bookmarkStart w:id="99" w:name="_Toc23598_WPSOffice_Level2"/>
      <w:bookmarkStart w:id="100" w:name="_Toc32639_WPSOffice_Level2"/>
      <w:r>
        <w:rPr>
          <w:rFonts w:hint="eastAsia" w:ascii="楷体" w:hAnsi="楷体" w:eastAsia="楷体" w:cs="楷体"/>
          <w:bCs/>
          <w:sz w:val="32"/>
          <w:szCs w:val="32"/>
        </w:rPr>
        <w:t>（一）机关运行经费支出情况</w:t>
      </w:r>
      <w:bookmarkEnd w:id="95"/>
      <w:bookmarkEnd w:id="96"/>
      <w:bookmarkEnd w:id="97"/>
      <w:bookmarkEnd w:id="98"/>
      <w:bookmarkEnd w:id="99"/>
      <w:bookmarkEnd w:id="100"/>
    </w:p>
    <w:p w14:paraId="4472ADA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sz w:val="32"/>
          <w:szCs w:val="32"/>
          <w:lang w:val="en-US" w:eastAsia="zh-CN"/>
        </w:rPr>
        <w:t xml:space="preserve">海南师范大学附属小学 </w:t>
      </w:r>
      <w:r>
        <w:rPr>
          <w:rFonts w:hint="eastAsia" w:ascii="仿宋_GB2312" w:hAnsi="ˎ̥" w:eastAsia="仿宋_GB2312"/>
          <w:sz w:val="32"/>
          <w:szCs w:val="32"/>
        </w:rPr>
        <w:t>部门（单位）没有机关运行经费支出</w:t>
      </w:r>
      <w:bookmarkStart w:id="101" w:name="_Toc25333_WPSOffice_Level2"/>
      <w:bookmarkStart w:id="102" w:name="_Toc3131_WPSOffice_Level2"/>
      <w:bookmarkStart w:id="103" w:name="_Toc13084_WPSOffice_Level2"/>
      <w:bookmarkStart w:id="104" w:name="_Toc30383_WPSOffice_Level2"/>
      <w:bookmarkStart w:id="105" w:name="_Toc32689_WPSOffice_Level2"/>
      <w:bookmarkStart w:id="106" w:name="_Toc23966_WPSOffice_Level2"/>
    </w:p>
    <w:p w14:paraId="646FBB9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（二）政府采购支出情况</w:t>
      </w:r>
      <w:bookmarkEnd w:id="101"/>
      <w:bookmarkEnd w:id="102"/>
      <w:bookmarkEnd w:id="103"/>
      <w:bookmarkEnd w:id="104"/>
      <w:bookmarkEnd w:id="105"/>
      <w:bookmarkEnd w:id="106"/>
    </w:p>
    <w:p w14:paraId="6E36B09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sz w:val="32"/>
          <w:szCs w:val="32"/>
          <w:lang w:val="en-US" w:eastAsia="zh-CN"/>
        </w:rPr>
        <w:t>海南师范大学附属小学</w:t>
      </w:r>
      <w:r>
        <w:rPr>
          <w:rFonts w:hint="eastAsia" w:ascii="仿宋_GB2312" w:hAnsi="ˎ̥" w:eastAsia="仿宋_GB2312"/>
          <w:sz w:val="32"/>
          <w:szCs w:val="32"/>
        </w:rPr>
        <w:t>政府采购支出总额</w:t>
      </w:r>
      <w:r>
        <w:rPr>
          <w:rFonts w:hint="eastAsia" w:ascii="仿宋_GB2312" w:hAnsi="ˎ̥" w:eastAsia="仿宋_GB2312"/>
          <w:color w:val="auto"/>
          <w:sz w:val="32"/>
          <w:szCs w:val="32"/>
          <w:lang w:val="en-US" w:eastAsia="zh-CN"/>
        </w:rPr>
        <w:t>0</w:t>
      </w:r>
      <w:r>
        <w:rPr>
          <w:rFonts w:hint="eastAsia" w:ascii="仿宋_GB2312" w:hAnsi="ˎ̥" w:eastAsia="仿宋_GB2312"/>
          <w:sz w:val="32"/>
          <w:szCs w:val="32"/>
        </w:rPr>
        <w:t>万元，</w:t>
      </w:r>
    </w:p>
    <w:p w14:paraId="314C235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7" w:name="_Toc527_WPSOffice_Level2"/>
      <w:bookmarkStart w:id="108" w:name="_Toc10902_WPSOffice_Level2"/>
      <w:bookmarkStart w:id="109" w:name="_Toc6016_WPSOffice_Level2"/>
      <w:bookmarkStart w:id="110" w:name="_Toc29584_WPSOffice_Level2"/>
      <w:bookmarkStart w:id="111" w:name="_Toc19989_WPSOffice_Level2"/>
      <w:bookmarkStart w:id="112" w:name="_Toc15129_WPSOffice_Level2"/>
      <w:r>
        <w:rPr>
          <w:rFonts w:hint="eastAsia" w:ascii="楷体" w:hAnsi="楷体" w:eastAsia="楷体" w:cs="楷体"/>
          <w:bCs/>
          <w:sz w:val="32"/>
          <w:szCs w:val="32"/>
        </w:rPr>
        <w:t>（三）国有资产占用情况</w:t>
      </w:r>
      <w:bookmarkEnd w:id="107"/>
      <w:bookmarkEnd w:id="108"/>
      <w:bookmarkEnd w:id="109"/>
      <w:bookmarkEnd w:id="110"/>
      <w:bookmarkEnd w:id="111"/>
      <w:bookmarkEnd w:id="112"/>
    </w:p>
    <w:p w14:paraId="6CB7EB7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bCs/>
          <w:sz w:val="32"/>
          <w:szCs w:val="32"/>
        </w:rPr>
        <w:t>截至</w:t>
      </w:r>
      <w:r>
        <w:rPr>
          <w:rFonts w:hint="default" w:ascii="仿宋_GB2312" w:hAnsi="ˎ̥" w:eastAsia="仿宋_GB2312"/>
          <w:bCs/>
          <w:sz w:val="32"/>
          <w:szCs w:val="32"/>
          <w:lang w:val="en-US"/>
        </w:rPr>
        <w:t>2024</w:t>
      </w:r>
      <w:r>
        <w:rPr>
          <w:rFonts w:hint="eastAsia" w:ascii="仿宋_GB2312" w:hAnsi="ˎ̥" w:eastAsia="仿宋_GB2312"/>
          <w:bCs/>
          <w:sz w:val="32"/>
          <w:szCs w:val="32"/>
        </w:rPr>
        <w:t>年12月31日，本部门</w:t>
      </w:r>
      <w:r>
        <w:rPr>
          <w:rFonts w:hint="eastAsia" w:ascii="仿宋_GB2312" w:hAnsi="ˎ̥" w:eastAsia="仿宋_GB2312"/>
          <w:bCs/>
          <w:sz w:val="32"/>
          <w:szCs w:val="32"/>
          <w:lang w:val="en-US" w:eastAsia="zh-CN"/>
        </w:rPr>
        <w:t>教学所用</w:t>
      </w:r>
      <w:r>
        <w:rPr>
          <w:rFonts w:hint="eastAsia" w:ascii="仿宋_GB2312" w:hAnsi="ˎ̥" w:eastAsia="仿宋_GB2312"/>
          <w:sz w:val="32"/>
          <w:szCs w:val="32"/>
        </w:rPr>
        <w:t>房屋面积</w:t>
      </w:r>
      <w:r>
        <w:rPr>
          <w:rFonts w:hint="eastAsia" w:ascii="仿宋_GB2312" w:hAnsi="ˎ̥" w:eastAsia="仿宋_GB2312"/>
          <w:color w:val="auto"/>
          <w:sz w:val="32"/>
          <w:szCs w:val="32"/>
          <w:lang w:val="en-US" w:eastAsia="zh-CN"/>
        </w:rPr>
        <w:t>9437.96</w:t>
      </w:r>
      <w:r>
        <w:rPr>
          <w:rFonts w:hint="eastAsia" w:ascii="仿宋_GB2312" w:hAnsi="ˎ̥" w:eastAsia="仿宋_GB2312"/>
          <w:sz w:val="32"/>
          <w:szCs w:val="32"/>
        </w:rPr>
        <w:t>平方米</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所有权归海南师范大学</w:t>
      </w:r>
    </w:p>
    <w:p w14:paraId="7EFC075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本部门共有车辆</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val="en-US" w:eastAsia="zh-CN"/>
        </w:rPr>
        <w:t xml:space="preserve">     </w:t>
      </w:r>
    </w:p>
    <w:p w14:paraId="73B5A1B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bookmarkStart w:id="113" w:name="_Toc8808_WPSOffice_Level1"/>
      <w:bookmarkStart w:id="114" w:name="_Toc8874_WPSOffice_Level1"/>
      <w:bookmarkStart w:id="115" w:name="_Toc17580_WPSOffice_Level1"/>
      <w:bookmarkStart w:id="116" w:name="_Toc11039_WPSOffice_Level1"/>
      <w:bookmarkStart w:id="117" w:name="_Toc15425_WPSOffice_Level1"/>
      <w:bookmarkStart w:id="118" w:name="_Toc4398_WPSOffice_Level1"/>
    </w:p>
    <w:p w14:paraId="766127C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3"/>
      <w:bookmarkEnd w:id="114"/>
      <w:bookmarkEnd w:id="115"/>
      <w:bookmarkEnd w:id="116"/>
      <w:bookmarkEnd w:id="117"/>
      <w:bookmarkEnd w:id="118"/>
    </w:p>
    <w:p w14:paraId="263D2DE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14:paraId="08B663FB">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14:paraId="220E728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6F82266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470176F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4DD921D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5A87D5A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353433B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4F43082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09FFB84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54C1B92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54AF980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2093FE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2AC280F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1DC49A6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105DBFD5">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199E8FC9">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14:paraId="2E01EE03">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color w:val="FF0000"/>
          <w:sz w:val="32"/>
          <w:szCs w:val="32"/>
        </w:rPr>
        <w:t>XXXX</w:t>
      </w:r>
      <w:r>
        <w:rPr>
          <w:rFonts w:hint="eastAsia" w:ascii="仿宋_GB2312" w:hAnsi="ˎ̥" w:eastAsia="仿宋_GB2312"/>
          <w:sz w:val="32"/>
          <w:szCs w:val="32"/>
        </w:rPr>
        <w:t>（类）</w:t>
      </w:r>
      <w:r>
        <w:rPr>
          <w:rFonts w:hint="eastAsia" w:ascii="仿宋_GB2312" w:hAnsi="ˎ̥" w:eastAsia="仿宋_GB2312"/>
          <w:color w:val="FF0000"/>
          <w:sz w:val="32"/>
          <w:szCs w:val="32"/>
        </w:rPr>
        <w:t>XXXX</w:t>
      </w:r>
      <w:r>
        <w:rPr>
          <w:rFonts w:hint="eastAsia" w:ascii="仿宋_GB2312" w:hAnsi="ˎ̥" w:eastAsia="仿宋_GB2312"/>
          <w:sz w:val="32"/>
          <w:szCs w:val="32"/>
        </w:rPr>
        <w:t>（款）</w:t>
      </w:r>
      <w:r>
        <w:rPr>
          <w:rFonts w:hint="eastAsia" w:ascii="仿宋_GB2312" w:hAnsi="ˎ̥" w:eastAsia="仿宋_GB2312"/>
          <w:color w:val="FF0000"/>
          <w:sz w:val="32"/>
          <w:szCs w:val="32"/>
        </w:rPr>
        <w:t>XXXX</w:t>
      </w:r>
      <w:r>
        <w:rPr>
          <w:rFonts w:hint="eastAsia" w:ascii="仿宋_GB2312" w:hAnsi="ˎ̥" w:eastAsia="仿宋_GB2312"/>
          <w:sz w:val="32"/>
          <w:szCs w:val="32"/>
        </w:rPr>
        <w:t>（项），</w:t>
      </w:r>
      <w:r>
        <w:rPr>
          <w:rFonts w:ascii="仿宋_GB2312" w:hAnsi="ˎ̥" w:eastAsia="仿宋_GB2312"/>
          <w:sz w:val="32"/>
          <w:szCs w:val="32"/>
        </w:rPr>
        <w:t>……</w:t>
      </w:r>
      <w:r>
        <w:rPr>
          <w:rFonts w:hint="eastAsia" w:ascii="仿宋_GB2312" w:hAnsi="ˎ̥" w:eastAsia="仿宋_GB2312"/>
          <w:sz w:val="32"/>
          <w:szCs w:val="32"/>
        </w:rPr>
        <w:t>；</w:t>
      </w:r>
    </w:p>
    <w:p w14:paraId="5242F488">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sz w:val="32"/>
          <w:szCs w:val="32"/>
          <w:lang w:val="en-US" w:eastAsia="zh-CN"/>
        </w:rPr>
      </w:pPr>
      <w:r>
        <w:rPr>
          <w:rFonts w:hint="eastAsia" w:ascii="仿宋_GB2312" w:hAnsi="ˎ̥" w:eastAsia="仿宋_GB2312"/>
          <w:color w:val="FF0000"/>
          <w:sz w:val="32"/>
          <w:szCs w:val="32"/>
        </w:rPr>
        <w:t>XXXX</w:t>
      </w:r>
      <w:r>
        <w:rPr>
          <w:rFonts w:hint="eastAsia" w:ascii="仿宋_GB2312" w:hAnsi="ˎ̥" w:eastAsia="仿宋_GB2312"/>
          <w:sz w:val="32"/>
          <w:szCs w:val="32"/>
        </w:rPr>
        <w:t>（类）</w:t>
      </w:r>
      <w:r>
        <w:rPr>
          <w:rFonts w:hint="eastAsia" w:ascii="仿宋_GB2312" w:hAnsi="ˎ̥" w:eastAsia="仿宋_GB2312"/>
          <w:color w:val="FF0000"/>
          <w:sz w:val="32"/>
          <w:szCs w:val="32"/>
        </w:rPr>
        <w:t>XXXX</w:t>
      </w:r>
      <w:r>
        <w:rPr>
          <w:rFonts w:hint="eastAsia" w:ascii="仿宋_GB2312" w:hAnsi="ˎ̥" w:eastAsia="仿宋_GB2312"/>
          <w:sz w:val="32"/>
          <w:szCs w:val="32"/>
        </w:rPr>
        <w:t>（款）</w:t>
      </w:r>
      <w:r>
        <w:rPr>
          <w:rFonts w:hint="eastAsia" w:ascii="仿宋_GB2312" w:hAnsi="ˎ̥" w:eastAsia="仿宋_GB2312"/>
          <w:color w:val="FF0000"/>
          <w:sz w:val="32"/>
          <w:szCs w:val="32"/>
        </w:rPr>
        <w:t>XXXX</w:t>
      </w:r>
      <w:r>
        <w:rPr>
          <w:rFonts w:hint="eastAsia" w:ascii="仿宋_GB2312" w:hAnsi="ˎ̥" w:eastAsia="仿宋_GB2312"/>
          <w:sz w:val="32"/>
          <w:szCs w:val="32"/>
        </w:rPr>
        <w:t>（项），</w:t>
      </w:r>
      <w:r>
        <w:rPr>
          <w:rFonts w:ascii="仿宋_GB2312" w:hAnsi="ˎ̥" w:eastAsia="仿宋_GB2312"/>
          <w:sz w:val="32"/>
          <w:szCs w:val="32"/>
        </w:rPr>
        <w:t>……</w:t>
      </w:r>
      <w:r>
        <w:rPr>
          <w:rFonts w:hint="eastAsia" w:ascii="仿宋_GB2312" w:hAnsi="ˎ̥" w:eastAsia="仿宋_GB2312"/>
          <w:sz w:val="32"/>
          <w:szCs w:val="32"/>
          <w:lang w:eastAsia="zh-CN"/>
        </w:rPr>
        <w:t>。</w:t>
      </w:r>
    </w:p>
    <w:p w14:paraId="76E13ECE">
      <w:pPr>
        <w:keepNext w:val="0"/>
        <w:keepLines w:val="0"/>
        <w:pageBreakBefore w:val="0"/>
        <w:widowControl w:val="0"/>
        <w:kinsoku/>
        <w:wordWrap/>
        <w:overflowPunct/>
        <w:topLinePunct w:val="0"/>
        <w:autoSpaceDE/>
        <w:autoSpaceDN/>
        <w:bidi w:val="0"/>
        <w:adjustRightInd/>
        <w:snapToGrid/>
        <w:spacing w:line="578" w:lineRule="exact"/>
        <w:textAlignment w:val="auto"/>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单位根据实际支出情况填列，可参阅财政部印发的《</w:t>
      </w:r>
      <w:r>
        <w:rPr>
          <w:rFonts w:hint="default" w:ascii="仿宋_GB2312" w:hAnsi="ˎ̥" w:eastAsia="仿宋_GB2312"/>
          <w:sz w:val="32"/>
          <w:szCs w:val="32"/>
          <w:lang w:val="en-US"/>
        </w:rPr>
        <w:t>2024</w:t>
      </w:r>
      <w:r>
        <w:rPr>
          <w:rFonts w:hint="eastAsia" w:ascii="仿宋_GB2312" w:hAnsi="ˎ̥" w:eastAsia="仿宋_GB2312"/>
          <w:sz w:val="32"/>
          <w:szCs w:val="32"/>
        </w:rPr>
        <w:t>年政府收支分类科目》</w:t>
      </w:r>
      <w:r>
        <w:rPr>
          <w:rFonts w:hint="eastAsia" w:ascii="仿宋_GB2312" w:hAnsi="ˎ̥" w:eastAsia="仿宋_GB2312"/>
          <w:sz w:val="32"/>
          <w:szCs w:val="32"/>
          <w:lang w:eastAsia="zh-CN"/>
        </w:rPr>
        <w:t>。</w:t>
      </w:r>
      <w:r>
        <w:rPr>
          <w:rFonts w:hint="eastAsia" w:ascii="仿宋_GB2312" w:hAnsi="ˎ̥" w:eastAsia="仿宋_GB2312"/>
          <w:sz w:val="32"/>
          <w:szCs w:val="32"/>
        </w:rPr>
        <w:t>）</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8BBFF">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18</w:t>
    </w:r>
    <w:r>
      <w:fldChar w:fldCharType="end"/>
    </w:r>
  </w:p>
  <w:p w14:paraId="128DA04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2674">
    <w:pPr>
      <w:pStyle w:val="4"/>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0A83BBB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D985244C"/>
    <w:multiLevelType w:val="singleLevel"/>
    <w:tmpl w:val="D985244C"/>
    <w:lvl w:ilvl="0" w:tentative="0">
      <w:start w:val="1"/>
      <w:numFmt w:val="chineseCounting"/>
      <w:suff w:val="nothing"/>
      <w:lvlText w:val="%1、"/>
      <w:lvlJc w:val="left"/>
      <w:rPr>
        <w:rFonts w:hint="eastAsia"/>
      </w:rPr>
    </w:lvl>
  </w:abstractNum>
  <w:abstractNum w:abstractNumId="2">
    <w:nsid w:val="1EE8C4B6"/>
    <w:multiLevelType w:val="singleLevel"/>
    <w:tmpl w:val="1EE8C4B6"/>
    <w:lvl w:ilvl="0" w:tentative="0">
      <w:start w:val="3"/>
      <w:numFmt w:val="chineseCounting"/>
      <w:suff w:val="nothing"/>
      <w:lvlText w:val="（%1）"/>
      <w:lvlJc w:val="left"/>
      <w:rPr>
        <w:rFonts w:hint="eastAsia"/>
      </w:rPr>
    </w:lvl>
  </w:abstractNum>
  <w:abstractNum w:abstractNumId="3">
    <w:nsid w:val="72109F8D"/>
    <w:multiLevelType w:val="singleLevel"/>
    <w:tmpl w:val="72109F8D"/>
    <w:lvl w:ilvl="0" w:tentative="0">
      <w:start w:val="7"/>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586291D"/>
    <w:rsid w:val="09201287"/>
    <w:rsid w:val="0E71234E"/>
    <w:rsid w:val="0FC80124"/>
    <w:rsid w:val="136F98C7"/>
    <w:rsid w:val="17427E68"/>
    <w:rsid w:val="1755065F"/>
    <w:rsid w:val="1AFC29C9"/>
    <w:rsid w:val="1BDA4434"/>
    <w:rsid w:val="1CA52F2E"/>
    <w:rsid w:val="1E3630B9"/>
    <w:rsid w:val="23787163"/>
    <w:rsid w:val="23FD38F7"/>
    <w:rsid w:val="26EEC2B5"/>
    <w:rsid w:val="29472309"/>
    <w:rsid w:val="2B406E77"/>
    <w:rsid w:val="2C2A0C43"/>
    <w:rsid w:val="2D1E73A5"/>
    <w:rsid w:val="31B25CAD"/>
    <w:rsid w:val="32717154"/>
    <w:rsid w:val="33F531AC"/>
    <w:rsid w:val="34B63260"/>
    <w:rsid w:val="35284044"/>
    <w:rsid w:val="37FDA7E2"/>
    <w:rsid w:val="3A314D88"/>
    <w:rsid w:val="3A746883"/>
    <w:rsid w:val="3CA15DE9"/>
    <w:rsid w:val="3FE61EE5"/>
    <w:rsid w:val="406508EE"/>
    <w:rsid w:val="408D6263"/>
    <w:rsid w:val="411B286F"/>
    <w:rsid w:val="41B40CEE"/>
    <w:rsid w:val="469A19D2"/>
    <w:rsid w:val="48317291"/>
    <w:rsid w:val="485F7024"/>
    <w:rsid w:val="48873D41"/>
    <w:rsid w:val="48E70666"/>
    <w:rsid w:val="49FA33E4"/>
    <w:rsid w:val="4BC7393F"/>
    <w:rsid w:val="4C6877E5"/>
    <w:rsid w:val="4D6A468D"/>
    <w:rsid w:val="4EA86137"/>
    <w:rsid w:val="56CA7FD0"/>
    <w:rsid w:val="57FA38D1"/>
    <w:rsid w:val="58146911"/>
    <w:rsid w:val="592A3ED1"/>
    <w:rsid w:val="5AC376E1"/>
    <w:rsid w:val="5F7D3333"/>
    <w:rsid w:val="600871C3"/>
    <w:rsid w:val="61385890"/>
    <w:rsid w:val="687436E1"/>
    <w:rsid w:val="68FD04DA"/>
    <w:rsid w:val="6DA45C50"/>
    <w:rsid w:val="6E360E67"/>
    <w:rsid w:val="6E9A7825"/>
    <w:rsid w:val="6F670F9B"/>
    <w:rsid w:val="737450E0"/>
    <w:rsid w:val="74054476"/>
    <w:rsid w:val="742F38C4"/>
    <w:rsid w:val="74AB66DC"/>
    <w:rsid w:val="74C4154C"/>
    <w:rsid w:val="75956FFF"/>
    <w:rsid w:val="77AA2D01"/>
    <w:rsid w:val="78A323DA"/>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annotation subject"/>
    <w:basedOn w:val="2"/>
    <w:next w:val="2"/>
    <w:link w:val="16"/>
    <w:qFormat/>
    <w:uiPriority w:val="0"/>
    <w:rPr>
      <w:b/>
      <w:bCs/>
    </w:rPr>
  </w:style>
  <w:style w:type="character" w:styleId="10">
    <w:name w:val="Strong"/>
    <w:basedOn w:val="9"/>
    <w:qFormat/>
    <w:uiPriority w:val="0"/>
    <w:rPr>
      <w:b/>
    </w:rPr>
  </w:style>
  <w:style w:type="character" w:styleId="11">
    <w:name w:val="page number"/>
    <w:qFormat/>
    <w:uiPriority w:val="0"/>
  </w:style>
  <w:style w:type="character" w:styleId="12">
    <w:name w:val="annotation reference"/>
    <w:qFormat/>
    <w:uiPriority w:val="0"/>
    <w:rPr>
      <w:sz w:val="21"/>
      <w:szCs w:val="21"/>
    </w:rPr>
  </w:style>
  <w:style w:type="character" w:customStyle="1" w:styleId="13">
    <w:name w:val="批注文字 Char"/>
    <w:link w:val="2"/>
    <w:qFormat/>
    <w:uiPriority w:val="0"/>
    <w:rPr>
      <w:kern w:val="2"/>
      <w:sz w:val="21"/>
      <w:szCs w:val="24"/>
    </w:rPr>
  </w:style>
  <w:style w:type="character" w:customStyle="1" w:styleId="14">
    <w:name w:val="批注框文本 Char"/>
    <w:link w:val="3"/>
    <w:qFormat/>
    <w:uiPriority w:val="0"/>
    <w:rPr>
      <w:kern w:val="2"/>
      <w:sz w:val="18"/>
      <w:szCs w:val="18"/>
    </w:rPr>
  </w:style>
  <w:style w:type="character" w:customStyle="1" w:styleId="15">
    <w:name w:val="页眉 Char"/>
    <w:link w:val="5"/>
    <w:qFormat/>
    <w:uiPriority w:val="0"/>
    <w:rPr>
      <w:kern w:val="2"/>
      <w:sz w:val="18"/>
      <w:szCs w:val="18"/>
    </w:rPr>
  </w:style>
  <w:style w:type="character" w:customStyle="1" w:styleId="16">
    <w:name w:val="批注主题 Char"/>
    <w:link w:val="7"/>
    <w:qFormat/>
    <w:uiPriority w:val="0"/>
    <w:rPr>
      <w:b/>
      <w:bCs/>
      <w:kern w:val="2"/>
      <w:sz w:val="21"/>
      <w:szCs w:val="24"/>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Chars="200"/>
    </w:pPr>
    <w:rPr>
      <w:rFonts w:ascii="Times New Roman" w:hAnsi="Times New Roman" w:eastAsia="宋体" w:cs="Times New Roman"/>
      <w:lang w:val="en-US" w:eastAsia="zh-CN" w:bidi="ar-SA"/>
    </w:rPr>
  </w:style>
  <w:style w:type="paragraph" w:customStyle="1" w:styleId="19">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10224</Words>
  <Characters>10825</Characters>
  <Lines>67</Lines>
  <Paragraphs>18</Paragraphs>
  <TotalTime>1</TotalTime>
  <ScaleCrop>false</ScaleCrop>
  <LinksUpToDate>false</LinksUpToDate>
  <CharactersWithSpaces>10933</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lenovo</cp:lastModifiedBy>
  <cp:lastPrinted>2023-08-03T00:58:00Z</cp:lastPrinted>
  <dcterms:modified xsi:type="dcterms:W3CDTF">2025-09-05T02:14:26Z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045004B4E3584A27B56F62C89D355E68_13</vt:lpwstr>
  </property>
  <property fmtid="{D5CDD505-2E9C-101B-9397-08002B2CF9AE}" pid="4" name="KSOTemplateDocerSaveRecord">
    <vt:lpwstr>eyJoZGlkIjoiNTE2ZmJhNzc1M2E5Y2NhNzZmNGU2ZDEwNjFkNjdkNTUifQ==</vt:lpwstr>
  </property>
</Properties>
</file>